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A4" w:rsidRPr="00AC70A4" w:rsidRDefault="00AC70A4" w:rsidP="00AC70A4">
      <w:pPr>
        <w:jc w:val="center"/>
        <w:rPr>
          <w:rFonts w:ascii="Sylfaen" w:hAnsi="Sylfaen"/>
          <w:b/>
          <w:lang w:val="ka-GE"/>
        </w:rPr>
      </w:pPr>
      <w:r w:rsidRPr="00AC70A4">
        <w:rPr>
          <w:rFonts w:ascii="Sylfaen" w:hAnsi="Sylfaen"/>
          <w:b/>
        </w:rPr>
        <w:t xml:space="preserve">C </w:t>
      </w:r>
      <w:r w:rsidRPr="00AC70A4">
        <w:rPr>
          <w:rFonts w:ascii="Sylfaen" w:hAnsi="Sylfaen"/>
          <w:b/>
          <w:lang w:val="ka-GE"/>
        </w:rPr>
        <w:t>ჰეპატიტის მართვა</w:t>
      </w:r>
    </w:p>
    <w:p w:rsidR="00AC70A4" w:rsidRPr="00AC70A4" w:rsidRDefault="00AC70A4" w:rsidP="00AC70A4">
      <w:pPr>
        <w:jc w:val="center"/>
        <w:rPr>
          <w:rFonts w:ascii="Sylfaen" w:hAnsi="Sylfaen"/>
          <w:b/>
          <w:lang w:val="ka-GE"/>
        </w:rPr>
      </w:pPr>
      <w:r w:rsidRPr="00AC70A4">
        <w:rPr>
          <w:rFonts w:ascii="Sylfaen" w:hAnsi="Sylfaen"/>
          <w:b/>
          <w:lang w:val="ka-GE"/>
        </w:rPr>
        <w:t xml:space="preserve">პაციენტის მოძრაობის გზა </w:t>
      </w:r>
    </w:p>
    <w:p w:rsidR="00AC70A4" w:rsidRDefault="00AC70A4" w:rsidP="006B5BB0">
      <w:pPr>
        <w:jc w:val="both"/>
        <w:rPr>
          <w:rFonts w:ascii="Sylfaen" w:hAnsi="Sylfaen"/>
          <w:lang w:val="ka-GE"/>
        </w:rPr>
      </w:pPr>
    </w:p>
    <w:p w:rsidR="007D16C1" w:rsidRDefault="003122AB" w:rsidP="006B5BB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მართვის </w:t>
      </w:r>
      <w:r w:rsidR="007D16C1">
        <w:rPr>
          <w:rFonts w:ascii="Sylfaen" w:hAnsi="Sylfaen"/>
          <w:lang w:val="ka-GE"/>
        </w:rPr>
        <w:t>პროგრამის ფარგლებში პაციენტის მოძრაობის გზა განსაზღვრულია შემდეგი სახით</w:t>
      </w:r>
      <w:r w:rsidR="00A23858">
        <w:rPr>
          <w:rFonts w:ascii="Sylfaen" w:hAnsi="Sylfaen"/>
          <w:lang w:val="ka-GE"/>
        </w:rPr>
        <w:t xml:space="preserve"> (ჩამონათვალის თანმიმდევრობა ემთხვევა ქმედებების თანმიმდევრობას)</w:t>
      </w:r>
      <w:r w:rsidR="007D16C1">
        <w:rPr>
          <w:rFonts w:ascii="Sylfaen" w:hAnsi="Sylfaen"/>
          <w:lang w:val="ka-GE"/>
        </w:rPr>
        <w:t>:</w:t>
      </w:r>
    </w:p>
    <w:p w:rsidR="007D16C1" w:rsidRDefault="007D16C1" w:rsidP="006B5BB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7732B">
        <w:rPr>
          <w:rFonts w:ascii="Sylfaen" w:hAnsi="Sylfaen"/>
          <w:b/>
          <w:u w:val="single"/>
          <w:lang w:val="ka-GE"/>
        </w:rPr>
        <w:t>სკრინინგული კვლევა</w:t>
      </w:r>
      <w:r w:rsidR="006B5BB0">
        <w:rPr>
          <w:rFonts w:ascii="Sylfaen" w:hAnsi="Sylfaen"/>
          <w:lang w:val="ka-GE"/>
        </w:rPr>
        <w:t xml:space="preserve"> (დაშვებულია ნებისმიერ სამედიცინო დაწესებულებაში ჩატარებული </w:t>
      </w:r>
      <w:r w:rsidR="00A23858">
        <w:rPr>
          <w:rFonts w:ascii="Sylfaen" w:hAnsi="Sylfaen"/>
        </w:rPr>
        <w:t xml:space="preserve">ANTI HCV </w:t>
      </w:r>
      <w:r w:rsidR="006B5BB0">
        <w:rPr>
          <w:rFonts w:ascii="Sylfaen" w:hAnsi="Sylfaen"/>
          <w:lang w:val="ka-GE"/>
        </w:rPr>
        <w:t>კვლევის შედეგის წარმოდგენა);</w:t>
      </w:r>
    </w:p>
    <w:p w:rsidR="007D16C1" w:rsidRPr="007D16C1" w:rsidRDefault="007D16C1" w:rsidP="006B5BB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7732B">
        <w:rPr>
          <w:rFonts w:ascii="Sylfaen" w:hAnsi="Sylfaen"/>
          <w:b/>
          <w:u w:val="single"/>
        </w:rPr>
        <w:t>HCV RNA</w:t>
      </w:r>
      <w:r w:rsidR="006B5BB0">
        <w:rPr>
          <w:rFonts w:ascii="Sylfaen" w:hAnsi="Sylfaen"/>
          <w:lang w:val="ka-GE"/>
        </w:rPr>
        <w:t xml:space="preserve"> (</w:t>
      </w:r>
      <w:r w:rsidR="0037732B">
        <w:rPr>
          <w:rFonts w:ascii="Sylfaen" w:hAnsi="Sylfaen"/>
          <w:lang w:val="ka-GE"/>
        </w:rPr>
        <w:t xml:space="preserve">რაოდენობრივი კვლევის ანალიზი </w:t>
      </w:r>
      <w:r w:rsidR="00A23858">
        <w:rPr>
          <w:rFonts w:ascii="Sylfaen" w:hAnsi="Sylfaen"/>
          <w:lang w:val="ka-GE"/>
        </w:rPr>
        <w:t xml:space="preserve">უტარდებათ </w:t>
      </w:r>
      <w:r w:rsidR="0019411E">
        <w:rPr>
          <w:rFonts w:ascii="Sylfaen" w:hAnsi="Sylfaen"/>
          <w:lang w:val="ka-GE"/>
        </w:rPr>
        <w:t xml:space="preserve">მხოლოდ </w:t>
      </w:r>
      <w:r w:rsidR="00A23858">
        <w:rPr>
          <w:rFonts w:ascii="Sylfaen" w:hAnsi="Sylfaen"/>
        </w:rPr>
        <w:t xml:space="preserve">ANTI HCV </w:t>
      </w:r>
      <w:r w:rsidR="00A23858">
        <w:rPr>
          <w:rFonts w:ascii="Sylfaen" w:hAnsi="Sylfaen"/>
          <w:lang w:val="ka-GE"/>
        </w:rPr>
        <w:t xml:space="preserve">დადებით პაციენტებს, </w:t>
      </w:r>
      <w:r w:rsidR="006B5BB0">
        <w:rPr>
          <w:rFonts w:ascii="Sylfaen" w:hAnsi="Sylfaen"/>
          <w:lang w:val="ka-GE"/>
        </w:rPr>
        <w:t>სერვისის მიმწოდებელ დაწესებულებებში);</w:t>
      </w:r>
    </w:p>
    <w:p w:rsidR="007D16C1" w:rsidRDefault="007D16C1" w:rsidP="006B5BB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7732B">
        <w:rPr>
          <w:rFonts w:ascii="Sylfaen" w:hAnsi="Sylfaen"/>
          <w:b/>
          <w:u w:val="single"/>
          <w:lang w:val="ka-GE"/>
        </w:rPr>
        <w:t>პრერეგისტრაცია</w:t>
      </w:r>
      <w:r w:rsidR="006B5BB0">
        <w:rPr>
          <w:rFonts w:ascii="Sylfaen" w:hAnsi="Sylfaen"/>
          <w:lang w:val="ka-GE"/>
        </w:rPr>
        <w:t xml:space="preserve"> (</w:t>
      </w:r>
      <w:r w:rsidR="00A23858">
        <w:rPr>
          <w:rFonts w:ascii="Sylfaen" w:hAnsi="Sylfaen"/>
        </w:rPr>
        <w:t xml:space="preserve">HCV RNA </w:t>
      </w:r>
      <w:r w:rsidR="00A23858">
        <w:rPr>
          <w:rFonts w:ascii="Sylfaen" w:hAnsi="Sylfaen"/>
          <w:lang w:val="ka-GE"/>
        </w:rPr>
        <w:t xml:space="preserve">დადებითი შედეგების მქონე პაციენტების პირველადი რეგისტრაცია </w:t>
      </w:r>
      <w:r w:rsidR="006B5BB0">
        <w:rPr>
          <w:rFonts w:ascii="Sylfaen" w:hAnsi="Sylfaen"/>
        </w:rPr>
        <w:t xml:space="preserve">C </w:t>
      </w:r>
      <w:r w:rsidR="006B5BB0">
        <w:rPr>
          <w:rFonts w:ascii="Sylfaen" w:hAnsi="Sylfaen"/>
          <w:lang w:val="ka-GE"/>
        </w:rPr>
        <w:t>ჰეპატიტის მართვის ცენტრსა და სსიპ სოციალური მომსახურების სააგენტოს ფილიალებში ქვეყნის მასშტაბით);</w:t>
      </w:r>
    </w:p>
    <w:p w:rsidR="007D16C1" w:rsidRDefault="007D16C1" w:rsidP="006B5BB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7732B">
        <w:rPr>
          <w:rFonts w:ascii="Sylfaen" w:hAnsi="Sylfaen"/>
          <w:b/>
          <w:u w:val="single"/>
          <w:lang w:val="ka-GE"/>
        </w:rPr>
        <w:t>ექიმთან პირველი ვიზიტი</w:t>
      </w:r>
      <w:r>
        <w:rPr>
          <w:rFonts w:ascii="Sylfaen" w:hAnsi="Sylfaen"/>
          <w:lang w:val="ka-GE"/>
        </w:rPr>
        <w:t xml:space="preserve"> (დიაგნოსტიკური კვლევები</w:t>
      </w:r>
      <w:r w:rsidR="00A23858">
        <w:rPr>
          <w:rFonts w:ascii="Sylfaen" w:hAnsi="Sylfaen"/>
          <w:lang w:val="ka-GE"/>
        </w:rPr>
        <w:t xml:space="preserve">ს ჩატარება </w:t>
      </w:r>
      <w:r w:rsidR="006B5BB0">
        <w:rPr>
          <w:rFonts w:ascii="Sylfaen" w:hAnsi="Sylfaen"/>
          <w:lang w:val="ka-GE"/>
        </w:rPr>
        <w:t>სერვისის მიმწოდებელ დაწესებულებებში</w:t>
      </w:r>
      <w:r>
        <w:rPr>
          <w:rFonts w:ascii="Sylfaen" w:hAnsi="Sylfaen"/>
          <w:lang w:val="ka-GE"/>
        </w:rPr>
        <w:t>)</w:t>
      </w:r>
      <w:r w:rsidR="006B5BB0">
        <w:rPr>
          <w:rFonts w:ascii="Sylfaen" w:hAnsi="Sylfaen"/>
          <w:lang w:val="ka-GE"/>
        </w:rPr>
        <w:t>;</w:t>
      </w:r>
    </w:p>
    <w:p w:rsidR="007D16C1" w:rsidRDefault="007D16C1" w:rsidP="006B5BB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7732B">
        <w:rPr>
          <w:rFonts w:ascii="Sylfaen" w:hAnsi="Sylfaen"/>
          <w:b/>
          <w:u w:val="single"/>
          <w:lang w:val="ka-GE"/>
        </w:rPr>
        <w:t>ექიმთან მეორე ვიზიტი</w:t>
      </w:r>
      <w:r>
        <w:rPr>
          <w:rFonts w:ascii="Sylfaen" w:hAnsi="Sylfaen"/>
          <w:lang w:val="ka-GE"/>
        </w:rPr>
        <w:t xml:space="preserve"> (</w:t>
      </w:r>
      <w:r w:rsidR="00A23858">
        <w:rPr>
          <w:rFonts w:ascii="Sylfaen" w:hAnsi="Sylfaen"/>
          <w:lang w:val="ka-GE"/>
        </w:rPr>
        <w:t xml:space="preserve">კვლევების შედეგების გაცნობა და </w:t>
      </w:r>
      <w:r w:rsidR="006B5BB0">
        <w:rPr>
          <w:rFonts w:ascii="Sylfaen" w:hAnsi="Sylfaen"/>
          <w:lang w:val="ka-GE"/>
        </w:rPr>
        <w:t>ფორმა N</w:t>
      </w:r>
      <w:r w:rsidR="006B5BB0">
        <w:rPr>
          <w:rFonts w:ascii="Sylfaen" w:hAnsi="Sylfaen"/>
        </w:rPr>
        <w:t>IV-</w:t>
      </w:r>
      <w:r w:rsidR="006B5BB0">
        <w:rPr>
          <w:rFonts w:ascii="Sylfaen" w:hAnsi="Sylfaen"/>
          <w:lang w:val="ka-GE"/>
        </w:rPr>
        <w:t>100</w:t>
      </w:r>
      <w:r w:rsidR="006B5BB0">
        <w:rPr>
          <w:rFonts w:ascii="Sylfaen" w:hAnsi="Sylfaen"/>
        </w:rPr>
        <w:t>/</w:t>
      </w:r>
      <w:r w:rsidR="006B5BB0">
        <w:rPr>
          <w:rFonts w:ascii="Sylfaen" w:hAnsi="Sylfaen"/>
          <w:lang w:val="ka-GE"/>
        </w:rPr>
        <w:t>ა გაცემა-სერვისის მიმწოდებელ დაწესებულებებში);</w:t>
      </w:r>
    </w:p>
    <w:p w:rsidR="006B5BB0" w:rsidRDefault="006B5BB0" w:rsidP="006B5BB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7732B">
        <w:rPr>
          <w:rFonts w:ascii="Sylfaen" w:hAnsi="Sylfaen"/>
          <w:b/>
          <w:u w:val="single"/>
          <w:lang w:val="ka-GE"/>
        </w:rPr>
        <w:t>რეგისტრაცია</w:t>
      </w:r>
      <w:r w:rsidRPr="006B5BB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="00A23858">
        <w:rPr>
          <w:rFonts w:ascii="Sylfaen" w:hAnsi="Sylfaen"/>
          <w:lang w:val="ka-GE"/>
        </w:rPr>
        <w:t xml:space="preserve">დოკუმენტაციის სრული პაკეტის წარდგენით რეგისტრაცია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მართვის ცენტრსა და სსიპ სოციალური მომსახურების სააგენტოს ფილიალებში ქვეყნის მასშტაბით);</w:t>
      </w:r>
    </w:p>
    <w:p w:rsidR="006B5BB0" w:rsidRDefault="006B5BB0" w:rsidP="006B5BB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7732B">
        <w:rPr>
          <w:rFonts w:ascii="Sylfaen" w:hAnsi="Sylfaen"/>
          <w:b/>
          <w:u w:val="single"/>
          <w:lang w:val="ka-GE"/>
        </w:rPr>
        <w:t>კომისიური განხილვა</w:t>
      </w:r>
      <w:r>
        <w:rPr>
          <w:rFonts w:ascii="Sylfaen" w:hAnsi="Sylfaen"/>
          <w:b/>
          <w:lang w:val="ka-GE"/>
        </w:rPr>
        <w:t xml:space="preserve"> </w:t>
      </w:r>
      <w:r w:rsidRPr="006B5BB0">
        <w:rPr>
          <w:rFonts w:ascii="Sylfaen" w:hAnsi="Sylfaen"/>
          <w:lang w:val="ka-GE"/>
        </w:rPr>
        <w:t>(</w:t>
      </w:r>
      <w:r w:rsidR="0037732B">
        <w:rPr>
          <w:rFonts w:ascii="Sylfaen" w:hAnsi="Sylfaen"/>
          <w:lang w:val="ka-GE"/>
        </w:rPr>
        <w:t>რეგისტრირებული, ელიმინაციის ელექტრონულ პროგრამაში ატვირთული დოკუმენტაციების განხილვა კომისიის წევრების მიერ ელექტრონულად);</w:t>
      </w:r>
    </w:p>
    <w:p w:rsidR="006B5BB0" w:rsidRDefault="003122AB" w:rsidP="006B5BB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7732B">
        <w:rPr>
          <w:rFonts w:ascii="Sylfaen" w:hAnsi="Sylfaen"/>
          <w:b/>
          <w:u w:val="single"/>
          <w:lang w:val="ka-GE"/>
        </w:rPr>
        <w:t>პირველი ვიზიტი მედიკამენტის მისაღებად</w:t>
      </w:r>
      <w:r>
        <w:rPr>
          <w:rFonts w:ascii="Sylfaen" w:hAnsi="Sylfaen"/>
          <w:b/>
          <w:lang w:val="ka-GE"/>
        </w:rPr>
        <w:t xml:space="preserve"> </w:t>
      </w:r>
      <w:r w:rsidR="0037732B">
        <w:rPr>
          <w:rFonts w:ascii="Sylfaen" w:hAnsi="Sylfaen"/>
          <w:b/>
          <w:lang w:val="ka-GE"/>
        </w:rPr>
        <w:t xml:space="preserve"> </w:t>
      </w:r>
      <w:r w:rsidR="0037732B" w:rsidRPr="0037732B">
        <w:rPr>
          <w:rFonts w:ascii="Sylfaen" w:hAnsi="Sylfaen"/>
          <w:lang w:val="ka-GE"/>
        </w:rPr>
        <w:t xml:space="preserve">(ამ ეტაპზე პაციენტი ერთვება მკურნალობის კომპონენტში და უტარდება </w:t>
      </w:r>
      <w:r w:rsidRPr="0037732B">
        <w:rPr>
          <w:rFonts w:ascii="Sylfaen" w:hAnsi="Sylfaen"/>
          <w:lang w:val="ka-GE"/>
        </w:rPr>
        <w:t>მკურნალობის მონიტორინგი</w:t>
      </w:r>
      <w:r w:rsidR="0037732B" w:rsidRPr="0037732B">
        <w:rPr>
          <w:rFonts w:ascii="Sylfaen" w:hAnsi="Sylfaen"/>
          <w:lang w:val="ka-GE"/>
        </w:rPr>
        <w:t>თ გათვალისწინებული კვლევები მკურნალობის</w:t>
      </w:r>
      <w:r w:rsidRPr="0037732B">
        <w:rPr>
          <w:rFonts w:ascii="Sylfaen" w:hAnsi="Sylfaen"/>
          <w:lang w:val="ka-GE"/>
        </w:rPr>
        <w:t xml:space="preserve"> რეჟიმის შესაბამისად</w:t>
      </w:r>
      <w:r w:rsidR="0037732B" w:rsidRPr="0037732B">
        <w:rPr>
          <w:rFonts w:ascii="Sylfaen" w:hAnsi="Sylfaen"/>
          <w:lang w:val="ka-GE"/>
        </w:rPr>
        <w:t>)</w:t>
      </w:r>
      <w:r w:rsidRPr="0037732B">
        <w:rPr>
          <w:rFonts w:ascii="Sylfaen" w:hAnsi="Sylfaen"/>
          <w:lang w:val="ka-GE"/>
        </w:rPr>
        <w:t>;</w:t>
      </w:r>
    </w:p>
    <w:p w:rsidR="003122AB" w:rsidRDefault="003122AB" w:rsidP="006B5BB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7732B">
        <w:rPr>
          <w:rFonts w:ascii="Sylfaen" w:hAnsi="Sylfaen"/>
          <w:b/>
          <w:u w:val="single"/>
        </w:rPr>
        <w:t xml:space="preserve">SVR </w:t>
      </w:r>
      <w:r w:rsidRPr="0037732B">
        <w:rPr>
          <w:rFonts w:ascii="Sylfaen" w:hAnsi="Sylfaen"/>
          <w:b/>
          <w:u w:val="single"/>
          <w:lang w:val="ka-GE"/>
        </w:rPr>
        <w:t>კვლევა</w:t>
      </w:r>
      <w:r>
        <w:rPr>
          <w:rFonts w:ascii="Sylfaen" w:hAnsi="Sylfaen"/>
          <w:lang w:val="ka-GE"/>
        </w:rPr>
        <w:t xml:space="preserve"> </w:t>
      </w:r>
      <w:r w:rsidR="0037732B">
        <w:rPr>
          <w:rFonts w:ascii="Sylfaen" w:hAnsi="Sylfaen"/>
          <w:lang w:val="ka-GE"/>
        </w:rPr>
        <w:t xml:space="preserve">(მკურნალობის დასრულებიდან სამი თვის შემდეგ უტარდება პაციენტს </w:t>
      </w:r>
      <w:r>
        <w:rPr>
          <w:rFonts w:ascii="Sylfaen" w:hAnsi="Sylfaen"/>
          <w:lang w:val="ka-GE"/>
        </w:rPr>
        <w:t>განკურნების დასადასტურებლად</w:t>
      </w:r>
      <w:r w:rsidR="0037732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სერვისის მიმწოდებელ დაწესებულებებში).</w:t>
      </w:r>
    </w:p>
    <w:p w:rsidR="00967F79" w:rsidRDefault="00967F79" w:rsidP="003122AB">
      <w:pPr>
        <w:jc w:val="both"/>
        <w:rPr>
          <w:rFonts w:ascii="Sylfaen" w:hAnsi="Sylfaen"/>
          <w:lang w:val="ka-GE"/>
        </w:rPr>
      </w:pPr>
    </w:p>
    <w:p w:rsidR="003122AB" w:rsidRDefault="003122AB" w:rsidP="003122A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მოძრაობის დროითი შუალედების გასაანალიზებლად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ელიმინაციის ელექტრონული ბაზიდან რანდომულად შერჩეულ იქნა 50 პაციენტი</w:t>
      </w:r>
      <w:r w:rsidR="00F52A2F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2016 წლის ივნისიდან 2017 წლის თებერვლამდე პერიოდში</w:t>
      </w:r>
      <w:r w:rsidR="00F52A2F">
        <w:rPr>
          <w:rFonts w:ascii="Sylfaen" w:hAnsi="Sylfaen"/>
        </w:rPr>
        <w:t xml:space="preserve"> </w:t>
      </w:r>
      <w:r w:rsidR="00F52A2F">
        <w:rPr>
          <w:rFonts w:ascii="Sylfaen" w:hAnsi="Sylfaen"/>
          <w:lang w:val="ka-GE"/>
        </w:rPr>
        <w:t xml:space="preserve">და </w:t>
      </w:r>
      <w:r w:rsidR="00F52A2F">
        <w:rPr>
          <w:rFonts w:ascii="Sylfaen" w:hAnsi="Sylfaen"/>
          <w:lang w:val="ka-GE"/>
        </w:rPr>
        <w:t>გაანალიზდა ა</w:t>
      </w:r>
      <w:r w:rsidR="00F52A2F">
        <w:rPr>
          <w:rFonts w:ascii="Sylfaen" w:hAnsi="Sylfaen"/>
          <w:lang w:val="ka-GE"/>
        </w:rPr>
        <w:t xml:space="preserve">მ პაციენტების მოძრაობის </w:t>
      </w:r>
      <w:r w:rsidR="00F52A2F">
        <w:rPr>
          <w:rFonts w:ascii="Sylfaen" w:hAnsi="Sylfaen"/>
          <w:lang w:val="ka-GE"/>
        </w:rPr>
        <w:t xml:space="preserve"> </w:t>
      </w:r>
      <w:r w:rsidR="00967F79">
        <w:rPr>
          <w:rFonts w:ascii="Sylfaen" w:hAnsi="Sylfaen"/>
          <w:lang w:val="ka-GE"/>
        </w:rPr>
        <w:t xml:space="preserve">პერიოდები </w:t>
      </w:r>
      <w:r w:rsidR="00F52A2F">
        <w:rPr>
          <w:rFonts w:ascii="Sylfaen" w:hAnsi="Sylfaen"/>
        </w:rPr>
        <w:t>(</w:t>
      </w:r>
      <w:r w:rsidR="00F52A2F">
        <w:rPr>
          <w:rFonts w:ascii="Sylfaen" w:hAnsi="Sylfaen"/>
          <w:lang w:val="ka-GE"/>
        </w:rPr>
        <w:t xml:space="preserve">მოცემულ ჯგუფში </w:t>
      </w:r>
      <w:r w:rsidR="00F52A2F" w:rsidRPr="00F52A2F">
        <w:rPr>
          <w:rFonts w:ascii="Sylfaen" w:hAnsi="Sylfaen"/>
          <w:lang w:val="ka-GE"/>
        </w:rPr>
        <w:t xml:space="preserve">SVR </w:t>
      </w:r>
      <w:r w:rsidR="00F52A2F" w:rsidRPr="00F52A2F">
        <w:rPr>
          <w:rFonts w:ascii="Sylfaen" w:hAnsi="Sylfaen"/>
          <w:lang w:val="ka-GE"/>
        </w:rPr>
        <w:t xml:space="preserve">კვლევის მონაცემები არასრულყოფილი სახით არის წარმოდგენილი, აქედან გამომდინარე, </w:t>
      </w:r>
      <w:r w:rsidR="00F52A2F">
        <w:rPr>
          <w:rFonts w:ascii="Sylfaen" w:hAnsi="Sylfaen"/>
          <w:lang w:val="ka-GE"/>
        </w:rPr>
        <w:t xml:space="preserve">დროის შუალედი </w:t>
      </w:r>
      <w:r w:rsidR="00F52A2F" w:rsidRPr="00F52A2F">
        <w:rPr>
          <w:rFonts w:ascii="Sylfaen" w:hAnsi="Sylfaen"/>
          <w:lang w:val="ka-GE"/>
        </w:rPr>
        <w:t xml:space="preserve">მედიკამენტის პირველი მიღებიდან SVR კვლევამდე არ </w:t>
      </w:r>
      <w:r w:rsidR="00F52A2F">
        <w:rPr>
          <w:rFonts w:ascii="Sylfaen" w:hAnsi="Sylfaen"/>
          <w:lang w:val="ka-GE"/>
        </w:rPr>
        <w:t>დაგვითვლია).</w:t>
      </w:r>
      <w:r>
        <w:rPr>
          <w:rFonts w:ascii="Sylfaen" w:hAnsi="Sylfaen"/>
          <w:lang w:val="ka-GE"/>
        </w:rPr>
        <w:t xml:space="preserve"> </w:t>
      </w:r>
    </w:p>
    <w:p w:rsidR="003122AB" w:rsidRDefault="00BE1BA8" w:rsidP="003122A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მონაცემების დამუშავების პროცესში გამოიკვეთა შემდეგი ტენდენციები:</w:t>
      </w:r>
    </w:p>
    <w:p w:rsidR="00BE1BA8" w:rsidRPr="0037732B" w:rsidRDefault="00BE1BA8" w:rsidP="0037732B">
      <w:pPr>
        <w:pStyle w:val="ListParagraph"/>
        <w:numPr>
          <w:ilvl w:val="0"/>
          <w:numId w:val="6"/>
        </w:numPr>
        <w:rPr>
          <w:rFonts w:ascii="Sylfaen" w:hAnsi="Sylfaen"/>
          <w:b/>
          <w:u w:val="single"/>
          <w:lang w:val="ka-GE"/>
        </w:rPr>
      </w:pPr>
      <w:r w:rsidRPr="0037732B">
        <w:rPr>
          <w:rFonts w:ascii="Sylfaen" w:hAnsi="Sylfaen"/>
          <w:lang w:val="ka-GE"/>
        </w:rPr>
        <w:br w:type="page"/>
      </w:r>
      <w:r w:rsidRPr="0037732B">
        <w:rPr>
          <w:rFonts w:ascii="Sylfaen" w:hAnsi="Sylfaen"/>
          <w:b/>
          <w:u w:val="single"/>
          <w:lang w:val="ka-GE"/>
        </w:rPr>
        <w:lastRenderedPageBreak/>
        <w:t xml:space="preserve">გზა სკრინინგული კვლევიდან </w:t>
      </w:r>
      <w:r w:rsidRPr="0037732B">
        <w:rPr>
          <w:rFonts w:ascii="Sylfaen" w:hAnsi="Sylfaen"/>
          <w:b/>
          <w:u w:val="single"/>
        </w:rPr>
        <w:t xml:space="preserve">HCV RNA </w:t>
      </w:r>
      <w:r w:rsidRPr="0037732B">
        <w:rPr>
          <w:rFonts w:ascii="Sylfaen" w:hAnsi="Sylfaen"/>
          <w:b/>
          <w:u w:val="single"/>
          <w:lang w:val="ka-GE"/>
        </w:rPr>
        <w:t>კვლევამდე.</w:t>
      </w:r>
    </w:p>
    <w:p w:rsidR="00BE1BA8" w:rsidRDefault="00BE1BA8" w:rsidP="00BE1BA8">
      <w:pPr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პერიოდი მერყეობს 0-დან 60 დღემდე. 50 პაციენტიდან თითქმის </w:t>
      </w:r>
      <w:r w:rsidRPr="00AC70A4">
        <w:rPr>
          <w:rFonts w:ascii="Sylfaen" w:hAnsi="Sylfaen"/>
          <w:b/>
          <w:lang w:val="ka-GE"/>
        </w:rPr>
        <w:t>70%</w:t>
      </w:r>
      <w:r>
        <w:rPr>
          <w:rFonts w:ascii="Sylfaen" w:hAnsi="Sylfaen"/>
          <w:lang w:val="ka-GE"/>
        </w:rPr>
        <w:t xml:space="preserve"> სკრინინგული კვლევის ჩატარებიდან </w:t>
      </w:r>
      <w:r w:rsidRPr="00AC70A4">
        <w:rPr>
          <w:rFonts w:ascii="Sylfaen" w:hAnsi="Sylfaen"/>
          <w:b/>
          <w:lang w:val="ka-GE"/>
        </w:rPr>
        <w:t>ერთი კვირის ვადაში</w:t>
      </w:r>
      <w:r>
        <w:rPr>
          <w:rFonts w:ascii="Sylfaen" w:hAnsi="Sylfaen"/>
          <w:lang w:val="ka-GE"/>
        </w:rPr>
        <w:t xml:space="preserve"> მიდის რაოდენობრივი კვლევის ჩასატარებლად, </w:t>
      </w:r>
      <w:r w:rsidRPr="00AC70A4">
        <w:rPr>
          <w:rFonts w:ascii="Sylfaen" w:hAnsi="Sylfaen"/>
          <w:b/>
          <w:lang w:val="ka-GE"/>
        </w:rPr>
        <w:t>12%</w:t>
      </w:r>
      <w:r>
        <w:rPr>
          <w:rFonts w:ascii="Sylfaen" w:hAnsi="Sylfaen"/>
          <w:lang w:val="ka-GE"/>
        </w:rPr>
        <w:t xml:space="preserve"> ამისთვის სჭირდება </w:t>
      </w:r>
      <w:r w:rsidRPr="00AC70A4">
        <w:rPr>
          <w:rFonts w:ascii="Sylfaen" w:hAnsi="Sylfaen"/>
          <w:b/>
          <w:lang w:val="ka-GE"/>
        </w:rPr>
        <w:t>10-დან 20 დღემდე,</w:t>
      </w:r>
      <w:r>
        <w:rPr>
          <w:rFonts w:ascii="Sylfaen" w:hAnsi="Sylfaen"/>
          <w:lang w:val="ka-GE"/>
        </w:rPr>
        <w:t xml:space="preserve"> </w:t>
      </w:r>
      <w:r w:rsidRPr="00AC70A4">
        <w:rPr>
          <w:rFonts w:ascii="Sylfaen" w:hAnsi="Sylfaen"/>
          <w:b/>
          <w:lang w:val="ka-GE"/>
        </w:rPr>
        <w:t>16%</w:t>
      </w:r>
      <w:r>
        <w:rPr>
          <w:rFonts w:ascii="Sylfaen" w:hAnsi="Sylfaen"/>
          <w:lang w:val="ka-GE"/>
        </w:rPr>
        <w:t xml:space="preserve"> შემთხვევაში </w:t>
      </w:r>
      <w:r w:rsidRPr="00AC70A4">
        <w:rPr>
          <w:rFonts w:ascii="Sylfaen" w:hAnsi="Sylfaen"/>
          <w:b/>
          <w:lang w:val="ka-GE"/>
        </w:rPr>
        <w:t>20-დან 4</w:t>
      </w:r>
      <w:r w:rsidR="00AC70A4" w:rsidRPr="00AC70A4">
        <w:rPr>
          <w:rFonts w:ascii="Sylfaen" w:hAnsi="Sylfaen"/>
          <w:b/>
          <w:lang w:val="ka-GE"/>
        </w:rPr>
        <w:t>2</w:t>
      </w:r>
      <w:r w:rsidRPr="00AC70A4">
        <w:rPr>
          <w:rFonts w:ascii="Sylfaen" w:hAnsi="Sylfaen"/>
          <w:b/>
          <w:lang w:val="ka-GE"/>
        </w:rPr>
        <w:t xml:space="preserve"> დღემდე,</w:t>
      </w:r>
      <w:r>
        <w:rPr>
          <w:rFonts w:ascii="Sylfaen" w:hAnsi="Sylfaen"/>
          <w:lang w:val="ka-GE"/>
        </w:rPr>
        <w:t xml:space="preserve"> ხოლო </w:t>
      </w:r>
      <w:r w:rsidRPr="00AC70A4">
        <w:rPr>
          <w:rFonts w:ascii="Sylfaen" w:hAnsi="Sylfaen"/>
          <w:b/>
          <w:lang w:val="ka-GE"/>
        </w:rPr>
        <w:t>2</w:t>
      </w:r>
      <w:r>
        <w:rPr>
          <w:rFonts w:ascii="Sylfaen" w:hAnsi="Sylfaen"/>
          <w:lang w:val="ka-GE"/>
        </w:rPr>
        <w:t xml:space="preserve"> შემთხვევაში ეს პერიოდი შეადგენდა </w:t>
      </w:r>
      <w:r w:rsidRPr="00AC70A4">
        <w:rPr>
          <w:rFonts w:ascii="Sylfaen" w:hAnsi="Sylfaen"/>
          <w:b/>
          <w:lang w:val="ka-GE"/>
        </w:rPr>
        <w:t xml:space="preserve">52 </w:t>
      </w:r>
      <w:r w:rsidRPr="00AC70A4">
        <w:rPr>
          <w:rFonts w:ascii="Sylfaen" w:hAnsi="Sylfaen"/>
          <w:lang w:val="ka-GE"/>
        </w:rPr>
        <w:t>და</w:t>
      </w:r>
      <w:r w:rsidRPr="00AC70A4">
        <w:rPr>
          <w:rFonts w:ascii="Sylfaen" w:hAnsi="Sylfaen"/>
          <w:b/>
          <w:lang w:val="ka-GE"/>
        </w:rPr>
        <w:t xml:space="preserve"> 60 დღეს</w:t>
      </w:r>
      <w:r w:rsidR="00AC70A4" w:rsidRPr="00AC70A4">
        <w:rPr>
          <w:rFonts w:ascii="Sylfaen" w:hAnsi="Sylfaen"/>
          <w:b/>
          <w:lang w:val="ka-GE"/>
        </w:rPr>
        <w:t>.</w:t>
      </w:r>
    </w:p>
    <w:p w:rsidR="00F767E0" w:rsidRDefault="00F767E0" w:rsidP="00BE1BA8">
      <w:pPr>
        <w:ind w:left="360"/>
        <w:jc w:val="both"/>
        <w:rPr>
          <w:rFonts w:ascii="Sylfaen" w:hAnsi="Sylfaen"/>
          <w:b/>
          <w:lang w:val="ka-GE"/>
        </w:rPr>
      </w:pPr>
    </w:p>
    <w:p w:rsidR="00AC70A4" w:rsidRDefault="00AC70A4" w:rsidP="00BE1BA8">
      <w:pPr>
        <w:ind w:left="360"/>
        <w:jc w:val="both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4D332677" wp14:editId="684354E9">
            <wp:extent cx="5943600" cy="62293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7F79" w:rsidRPr="00BE1BA8" w:rsidRDefault="00967F79" w:rsidP="00BE1BA8">
      <w:pPr>
        <w:ind w:left="36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AC70A4" w:rsidRPr="00462DB6" w:rsidRDefault="00AC70A4" w:rsidP="00462DB6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62DB6">
        <w:rPr>
          <w:rFonts w:ascii="Sylfaen" w:hAnsi="Sylfaen" w:cs="Sylfaen"/>
          <w:b/>
          <w:u w:val="single"/>
          <w:lang w:val="ka-GE"/>
        </w:rPr>
        <w:lastRenderedPageBreak/>
        <w:t>გზა</w:t>
      </w:r>
      <w:r w:rsidRPr="00462DB6">
        <w:rPr>
          <w:rFonts w:ascii="Sylfaen" w:hAnsi="Sylfaen"/>
          <w:b/>
          <w:u w:val="single"/>
          <w:lang w:val="ka-GE"/>
        </w:rPr>
        <w:t xml:space="preserve"> </w:t>
      </w:r>
      <w:r w:rsidRPr="00462DB6">
        <w:rPr>
          <w:rFonts w:ascii="Sylfaen" w:hAnsi="Sylfaen"/>
          <w:b/>
          <w:u w:val="single"/>
        </w:rPr>
        <w:t xml:space="preserve">HCV RNA </w:t>
      </w:r>
      <w:r w:rsidRPr="00462DB6">
        <w:rPr>
          <w:rFonts w:ascii="Sylfaen" w:hAnsi="Sylfaen"/>
          <w:b/>
          <w:u w:val="single"/>
          <w:lang w:val="ka-GE"/>
        </w:rPr>
        <w:t>კვლევიდან პრერეგისტრაციამდე.</w:t>
      </w:r>
    </w:p>
    <w:p w:rsidR="00AC70A4" w:rsidRDefault="00AC70A4" w:rsidP="00AC70A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პერიოდი მერყეობს 0-დან 45 დღემდე. 50 პაციენტიდან </w:t>
      </w:r>
      <w:r w:rsidRPr="00AC70A4">
        <w:rPr>
          <w:rFonts w:ascii="Sylfaen" w:hAnsi="Sylfaen"/>
          <w:b/>
          <w:lang w:val="ka-GE"/>
        </w:rPr>
        <w:t>36%</w:t>
      </w:r>
      <w:r>
        <w:rPr>
          <w:rFonts w:ascii="Sylfaen" w:hAnsi="Sylfaen"/>
          <w:lang w:val="ka-GE"/>
        </w:rPr>
        <w:t xml:space="preserve"> პრერეგისტრაციაზე მიდის </w:t>
      </w:r>
      <w:r w:rsidRPr="00AC70A4">
        <w:rPr>
          <w:rFonts w:ascii="Sylfaen" w:hAnsi="Sylfaen"/>
          <w:b/>
          <w:lang w:val="ka-GE"/>
        </w:rPr>
        <w:t>ერთი კვირის ვადაში.</w:t>
      </w:r>
      <w:r>
        <w:rPr>
          <w:rFonts w:ascii="Sylfaen" w:hAnsi="Sylfaen"/>
          <w:lang w:val="ka-GE"/>
        </w:rPr>
        <w:t xml:space="preserve"> თითქმის </w:t>
      </w:r>
      <w:r w:rsidRPr="00AC70A4">
        <w:rPr>
          <w:rFonts w:ascii="Sylfaen" w:hAnsi="Sylfaen"/>
          <w:b/>
          <w:lang w:val="ka-GE"/>
        </w:rPr>
        <w:t>50%</w:t>
      </w:r>
      <w:r>
        <w:rPr>
          <w:rFonts w:ascii="Sylfaen" w:hAnsi="Sylfaen"/>
          <w:lang w:val="ka-GE"/>
        </w:rPr>
        <w:t xml:space="preserve">-ს ამისთვის დასჭირდა </w:t>
      </w:r>
      <w:r w:rsidRPr="00AC70A4">
        <w:rPr>
          <w:rFonts w:ascii="Sylfaen" w:hAnsi="Sylfaen"/>
          <w:b/>
          <w:lang w:val="ka-GE"/>
        </w:rPr>
        <w:t>8-დან 20 დღემდე,</w:t>
      </w:r>
      <w:r>
        <w:rPr>
          <w:rFonts w:ascii="Sylfaen" w:hAnsi="Sylfaen"/>
          <w:lang w:val="ka-GE"/>
        </w:rPr>
        <w:t xml:space="preserve"> </w:t>
      </w:r>
      <w:r w:rsidRPr="00AC70A4">
        <w:rPr>
          <w:rFonts w:ascii="Sylfaen" w:hAnsi="Sylfaen"/>
          <w:b/>
          <w:lang w:val="ka-GE"/>
        </w:rPr>
        <w:t>14%-ისთვის</w:t>
      </w:r>
      <w:r>
        <w:rPr>
          <w:rFonts w:ascii="Sylfaen" w:hAnsi="Sylfaen"/>
          <w:lang w:val="ka-GE"/>
        </w:rPr>
        <w:t xml:space="preserve"> შეადგინა </w:t>
      </w:r>
      <w:r w:rsidRPr="00AC70A4">
        <w:rPr>
          <w:rFonts w:ascii="Sylfaen" w:hAnsi="Sylfaen"/>
          <w:b/>
          <w:lang w:val="ka-GE"/>
        </w:rPr>
        <w:t>23-დან 45 დღემდე.</w:t>
      </w:r>
    </w:p>
    <w:p w:rsidR="00AC70A4" w:rsidRDefault="00AC70A4" w:rsidP="00AC70A4">
      <w:pPr>
        <w:jc w:val="both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187CD2A2" wp14:editId="1A8A9BFC">
            <wp:extent cx="5943600" cy="608647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6F6B" w:rsidRDefault="00506F6B" w:rsidP="00AC70A4">
      <w:pPr>
        <w:jc w:val="both"/>
        <w:rPr>
          <w:rFonts w:ascii="Sylfaen" w:hAnsi="Sylfaen"/>
          <w:lang w:val="ka-GE"/>
        </w:rPr>
      </w:pPr>
    </w:p>
    <w:p w:rsidR="00F767E0" w:rsidRDefault="00F767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506F6B" w:rsidRDefault="00506F6B" w:rsidP="00AC70A4">
      <w:pPr>
        <w:jc w:val="both"/>
        <w:rPr>
          <w:rFonts w:ascii="Sylfaen" w:hAnsi="Sylfaen"/>
          <w:lang w:val="ka-GE"/>
        </w:rPr>
      </w:pPr>
    </w:p>
    <w:p w:rsidR="00506F6B" w:rsidRPr="00462DB6" w:rsidRDefault="00506F6B" w:rsidP="00462DB6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u w:val="single"/>
          <w:lang w:val="ka-GE"/>
        </w:rPr>
      </w:pPr>
      <w:r w:rsidRPr="00462DB6">
        <w:rPr>
          <w:rFonts w:ascii="Sylfaen" w:hAnsi="Sylfaen" w:cs="Sylfaen"/>
          <w:b/>
          <w:u w:val="single"/>
          <w:lang w:val="ka-GE"/>
        </w:rPr>
        <w:t>გზა</w:t>
      </w:r>
      <w:r w:rsidRPr="00462DB6">
        <w:rPr>
          <w:rFonts w:ascii="Sylfaen" w:hAnsi="Sylfaen"/>
          <w:b/>
          <w:u w:val="single"/>
          <w:lang w:val="ka-GE"/>
        </w:rPr>
        <w:t xml:space="preserve"> პრერეგისტრაციიდან ექიმთან პირველ ვიზიტამდე</w:t>
      </w:r>
    </w:p>
    <w:p w:rsidR="00506F6B" w:rsidRDefault="00506F6B" w:rsidP="00506F6B">
      <w:pPr>
        <w:ind w:left="360"/>
        <w:jc w:val="both"/>
        <w:rPr>
          <w:rFonts w:ascii="Sylfaen" w:hAnsi="Sylfaen"/>
          <w:b/>
          <w:lang w:val="ka-GE"/>
        </w:rPr>
      </w:pPr>
      <w:r w:rsidRPr="00506F6B">
        <w:rPr>
          <w:rFonts w:ascii="Sylfaen" w:hAnsi="Sylfaen" w:cs="Sylfaen"/>
          <w:lang w:val="ka-GE"/>
        </w:rPr>
        <w:t>პერიოდი</w:t>
      </w:r>
      <w:r w:rsidRPr="00506F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საშუალოდ </w:t>
      </w:r>
      <w:r w:rsidRPr="00506F6B">
        <w:rPr>
          <w:rFonts w:ascii="Sylfaen" w:hAnsi="Sylfaen"/>
          <w:lang w:val="ka-GE"/>
        </w:rPr>
        <w:t xml:space="preserve">მერყეობს 0-დან </w:t>
      </w:r>
      <w:r>
        <w:rPr>
          <w:rFonts w:ascii="Sylfaen" w:hAnsi="Sylfaen"/>
          <w:lang w:val="ka-GE"/>
        </w:rPr>
        <w:t>41</w:t>
      </w:r>
      <w:r w:rsidRPr="00506F6B">
        <w:rPr>
          <w:rFonts w:ascii="Sylfaen" w:hAnsi="Sylfaen"/>
          <w:lang w:val="ka-GE"/>
        </w:rPr>
        <w:t xml:space="preserve"> დღემდე. 50 პაციენტიდან </w:t>
      </w:r>
      <w:r>
        <w:rPr>
          <w:rFonts w:ascii="Sylfaen" w:hAnsi="Sylfaen"/>
          <w:b/>
          <w:lang w:val="ka-GE"/>
        </w:rPr>
        <w:t>80</w:t>
      </w:r>
      <w:r w:rsidRPr="00506F6B">
        <w:rPr>
          <w:rFonts w:ascii="Sylfaen" w:hAnsi="Sylfaen"/>
          <w:b/>
          <w:lang w:val="ka-GE"/>
        </w:rPr>
        <w:t>%</w:t>
      </w:r>
      <w:r w:rsidRPr="00506F6B">
        <w:rPr>
          <w:rFonts w:ascii="Sylfaen" w:hAnsi="Sylfaen"/>
          <w:lang w:val="ka-GE"/>
        </w:rPr>
        <w:t xml:space="preserve"> პრერეგისტრაცი</w:t>
      </w:r>
      <w:r w:rsidR="00462DB6">
        <w:rPr>
          <w:rFonts w:ascii="Sylfaen" w:hAnsi="Sylfaen"/>
          <w:lang w:val="ka-GE"/>
        </w:rPr>
        <w:t>ის შემდეგ ექიმთან პირველ ვიზიტზე</w:t>
      </w:r>
      <w:r w:rsidRPr="00506F6B">
        <w:rPr>
          <w:rFonts w:ascii="Sylfaen" w:hAnsi="Sylfaen"/>
          <w:lang w:val="ka-GE"/>
        </w:rPr>
        <w:t xml:space="preserve"> მიდის </w:t>
      </w:r>
      <w:r w:rsidRPr="00506F6B">
        <w:rPr>
          <w:rFonts w:ascii="Sylfaen" w:hAnsi="Sylfaen"/>
          <w:b/>
          <w:lang w:val="ka-GE"/>
        </w:rPr>
        <w:t>ერთი კვირის ვადაში.</w:t>
      </w:r>
      <w:r w:rsidRPr="00506F6B">
        <w:rPr>
          <w:rFonts w:ascii="Sylfaen" w:hAnsi="Sylfaen"/>
          <w:lang w:val="ka-GE"/>
        </w:rPr>
        <w:t xml:space="preserve"> თითქმის </w:t>
      </w:r>
      <w:r>
        <w:rPr>
          <w:rFonts w:ascii="Sylfaen" w:hAnsi="Sylfaen"/>
          <w:b/>
          <w:lang w:val="ka-GE"/>
        </w:rPr>
        <w:t>12</w:t>
      </w:r>
      <w:r w:rsidRPr="00506F6B">
        <w:rPr>
          <w:rFonts w:ascii="Sylfaen" w:hAnsi="Sylfaen"/>
          <w:b/>
          <w:lang w:val="ka-GE"/>
        </w:rPr>
        <w:t>%</w:t>
      </w:r>
      <w:r w:rsidRPr="00506F6B">
        <w:rPr>
          <w:rFonts w:ascii="Sylfaen" w:hAnsi="Sylfaen"/>
          <w:lang w:val="ka-GE"/>
        </w:rPr>
        <w:t xml:space="preserve">-ს ამისთვის დასჭირდა </w:t>
      </w:r>
      <w:r w:rsidRPr="00506F6B">
        <w:rPr>
          <w:rFonts w:ascii="Sylfaen" w:hAnsi="Sylfaen"/>
          <w:b/>
          <w:lang w:val="ka-GE"/>
        </w:rPr>
        <w:t>8-დან 20 დღემდე,</w:t>
      </w:r>
      <w:r w:rsidRPr="00506F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6</w:t>
      </w:r>
      <w:r w:rsidRPr="00506F6B">
        <w:rPr>
          <w:rFonts w:ascii="Sylfaen" w:hAnsi="Sylfaen"/>
          <w:b/>
          <w:lang w:val="ka-GE"/>
        </w:rPr>
        <w:t>%-ისთვის</w:t>
      </w:r>
      <w:r w:rsidRPr="00506F6B">
        <w:rPr>
          <w:rFonts w:ascii="Sylfaen" w:hAnsi="Sylfaen"/>
          <w:lang w:val="ka-GE"/>
        </w:rPr>
        <w:t xml:space="preserve"> შეადგინა </w:t>
      </w:r>
      <w:r>
        <w:rPr>
          <w:rFonts w:ascii="Sylfaen" w:hAnsi="Sylfaen"/>
          <w:b/>
          <w:lang w:val="ka-GE"/>
        </w:rPr>
        <w:t>30</w:t>
      </w:r>
      <w:r w:rsidRPr="00506F6B">
        <w:rPr>
          <w:rFonts w:ascii="Sylfaen" w:hAnsi="Sylfaen"/>
          <w:b/>
          <w:lang w:val="ka-GE"/>
        </w:rPr>
        <w:t xml:space="preserve">-დან </w:t>
      </w:r>
      <w:r>
        <w:rPr>
          <w:rFonts w:ascii="Sylfaen" w:hAnsi="Sylfaen"/>
          <w:b/>
          <w:lang w:val="ka-GE"/>
        </w:rPr>
        <w:t>41</w:t>
      </w:r>
      <w:r w:rsidRPr="00506F6B">
        <w:rPr>
          <w:rFonts w:ascii="Sylfaen" w:hAnsi="Sylfaen"/>
          <w:b/>
          <w:lang w:val="ka-GE"/>
        </w:rPr>
        <w:t xml:space="preserve"> დღემდე.</w:t>
      </w:r>
      <w:r>
        <w:rPr>
          <w:rFonts w:ascii="Sylfaen" w:hAnsi="Sylfaen"/>
          <w:b/>
          <w:lang w:val="ka-GE"/>
        </w:rPr>
        <w:t xml:space="preserve"> აქვე, ერთ შემთხვევაში, სხვაობამ შეადგინა 203 დღე.</w:t>
      </w:r>
    </w:p>
    <w:p w:rsidR="00506F6B" w:rsidRPr="00506F6B" w:rsidRDefault="00506F6B" w:rsidP="00506F6B">
      <w:pPr>
        <w:ind w:left="360"/>
        <w:jc w:val="both"/>
        <w:rPr>
          <w:rFonts w:ascii="Sylfaen" w:hAnsi="Sylfaen"/>
          <w:b/>
          <w:lang w:val="ka-GE"/>
        </w:rPr>
      </w:pPr>
      <w:r>
        <w:rPr>
          <w:noProof/>
        </w:rPr>
        <w:drawing>
          <wp:inline distT="0" distB="0" distL="0" distR="0" wp14:anchorId="39CED003" wp14:editId="4E0EE3F9">
            <wp:extent cx="5943600" cy="63246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6F6B" w:rsidRPr="00CC30DF" w:rsidRDefault="00F767E0" w:rsidP="00462DB6">
      <w:pPr>
        <w:pStyle w:val="ListParagraph"/>
        <w:numPr>
          <w:ilvl w:val="0"/>
          <w:numId w:val="6"/>
        </w:numPr>
        <w:rPr>
          <w:rFonts w:ascii="Sylfaen" w:hAnsi="Sylfaen"/>
          <w:b/>
          <w:u w:val="single"/>
          <w:lang w:val="ka-GE"/>
        </w:rPr>
      </w:pPr>
      <w:r w:rsidRPr="00F767E0">
        <w:rPr>
          <w:rFonts w:ascii="Sylfaen" w:hAnsi="Sylfaen"/>
          <w:b/>
          <w:lang w:val="ka-GE"/>
        </w:rPr>
        <w:br w:type="page"/>
      </w:r>
      <w:r w:rsidR="00506F6B" w:rsidRPr="00CC30DF">
        <w:rPr>
          <w:rFonts w:ascii="Sylfaen" w:hAnsi="Sylfaen"/>
          <w:b/>
          <w:u w:val="single"/>
          <w:lang w:val="ka-GE"/>
        </w:rPr>
        <w:lastRenderedPageBreak/>
        <w:t>გზა ექიმთან პირველ და მეორე ვიზიტ</w:t>
      </w:r>
      <w:r w:rsidR="00CC30DF">
        <w:rPr>
          <w:rFonts w:ascii="Sylfaen" w:hAnsi="Sylfaen"/>
          <w:b/>
          <w:u w:val="single"/>
          <w:lang w:val="ka-GE"/>
        </w:rPr>
        <w:t>ებ</w:t>
      </w:r>
      <w:r w:rsidR="00506F6B" w:rsidRPr="00CC30DF">
        <w:rPr>
          <w:rFonts w:ascii="Sylfaen" w:hAnsi="Sylfaen"/>
          <w:b/>
          <w:u w:val="single"/>
          <w:lang w:val="ka-GE"/>
        </w:rPr>
        <w:t>ს შორის</w:t>
      </w:r>
    </w:p>
    <w:p w:rsidR="00462DB6" w:rsidRDefault="00506F6B" w:rsidP="00506F6B">
      <w:pPr>
        <w:ind w:left="360"/>
        <w:jc w:val="both"/>
        <w:rPr>
          <w:rFonts w:ascii="Sylfaen" w:hAnsi="Sylfaen"/>
          <w:b/>
          <w:lang w:val="ka-GE"/>
        </w:rPr>
      </w:pPr>
      <w:r w:rsidRPr="00506F6B">
        <w:rPr>
          <w:rFonts w:ascii="Sylfaen" w:hAnsi="Sylfaen" w:cs="Sylfaen"/>
          <w:lang w:val="ka-GE"/>
        </w:rPr>
        <w:t>პერიოდი</w:t>
      </w:r>
      <w:r w:rsidRPr="00506F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საშუალოდ </w:t>
      </w:r>
      <w:r w:rsidRPr="00506F6B">
        <w:rPr>
          <w:rFonts w:ascii="Sylfaen" w:hAnsi="Sylfaen"/>
          <w:lang w:val="ka-GE"/>
        </w:rPr>
        <w:t xml:space="preserve">მერყეობს 0-დან </w:t>
      </w:r>
      <w:r>
        <w:rPr>
          <w:rFonts w:ascii="Sylfaen" w:hAnsi="Sylfaen"/>
          <w:lang w:val="ka-GE"/>
        </w:rPr>
        <w:t>55</w:t>
      </w:r>
      <w:r w:rsidRPr="00506F6B">
        <w:rPr>
          <w:rFonts w:ascii="Sylfaen" w:hAnsi="Sylfaen"/>
          <w:lang w:val="ka-GE"/>
        </w:rPr>
        <w:t xml:space="preserve"> დღემდე. 50 პაციენტიდან </w:t>
      </w:r>
      <w:r>
        <w:rPr>
          <w:rFonts w:ascii="Sylfaen" w:hAnsi="Sylfaen"/>
          <w:b/>
          <w:lang w:val="ka-GE"/>
        </w:rPr>
        <w:t>14</w:t>
      </w:r>
      <w:r w:rsidRPr="00506F6B">
        <w:rPr>
          <w:rFonts w:ascii="Sylfaen" w:hAnsi="Sylfaen"/>
          <w:b/>
          <w:lang w:val="ka-GE"/>
        </w:rPr>
        <w:t>%</w:t>
      </w:r>
      <w:r w:rsidRPr="00506F6B">
        <w:rPr>
          <w:rFonts w:ascii="Sylfaen" w:hAnsi="Sylfaen"/>
          <w:lang w:val="ka-GE"/>
        </w:rPr>
        <w:t xml:space="preserve"> </w:t>
      </w:r>
      <w:r w:rsidR="00F767E0">
        <w:rPr>
          <w:rFonts w:ascii="Sylfaen" w:hAnsi="Sylfaen"/>
          <w:lang w:val="ka-GE"/>
        </w:rPr>
        <w:t>ექიმთან მეორე ვიზიტზე (ფორმა N</w:t>
      </w:r>
      <w:r w:rsidR="00F767E0">
        <w:rPr>
          <w:rFonts w:ascii="Sylfaen" w:hAnsi="Sylfaen"/>
        </w:rPr>
        <w:t>IV-</w:t>
      </w:r>
      <w:r w:rsidR="00F767E0">
        <w:rPr>
          <w:rFonts w:ascii="Sylfaen" w:hAnsi="Sylfaen"/>
          <w:lang w:val="ka-GE"/>
        </w:rPr>
        <w:t>100/ა მისაღებად)</w:t>
      </w:r>
      <w:r w:rsidRPr="00506F6B">
        <w:rPr>
          <w:rFonts w:ascii="Sylfaen" w:hAnsi="Sylfaen"/>
          <w:lang w:val="ka-GE"/>
        </w:rPr>
        <w:t xml:space="preserve"> მიდის </w:t>
      </w:r>
      <w:r w:rsidRPr="00506F6B">
        <w:rPr>
          <w:rFonts w:ascii="Sylfaen" w:hAnsi="Sylfaen"/>
          <w:b/>
          <w:lang w:val="ka-GE"/>
        </w:rPr>
        <w:t>ერთი კვირის ვადაში.</w:t>
      </w:r>
      <w:r w:rsidRPr="00506F6B">
        <w:rPr>
          <w:rFonts w:ascii="Sylfaen" w:hAnsi="Sylfaen"/>
          <w:lang w:val="ka-GE"/>
        </w:rPr>
        <w:t xml:space="preserve"> თითქმის </w:t>
      </w:r>
      <w:r w:rsidR="00F767E0">
        <w:rPr>
          <w:rFonts w:ascii="Sylfaen" w:hAnsi="Sylfaen"/>
          <w:b/>
          <w:lang w:val="ka-GE"/>
        </w:rPr>
        <w:t>60</w:t>
      </w:r>
      <w:r w:rsidRPr="00506F6B">
        <w:rPr>
          <w:rFonts w:ascii="Sylfaen" w:hAnsi="Sylfaen"/>
          <w:b/>
          <w:lang w:val="ka-GE"/>
        </w:rPr>
        <w:t>%</w:t>
      </w:r>
      <w:r w:rsidRPr="00506F6B">
        <w:rPr>
          <w:rFonts w:ascii="Sylfaen" w:hAnsi="Sylfaen"/>
          <w:lang w:val="ka-GE"/>
        </w:rPr>
        <w:t xml:space="preserve">-ს ამისთვის დასჭირდა </w:t>
      </w:r>
      <w:r w:rsidRPr="00506F6B">
        <w:rPr>
          <w:rFonts w:ascii="Sylfaen" w:hAnsi="Sylfaen"/>
          <w:b/>
          <w:lang w:val="ka-GE"/>
        </w:rPr>
        <w:t>8-დან 20 დღემდე,</w:t>
      </w:r>
      <w:r w:rsidRPr="00506F6B">
        <w:rPr>
          <w:rFonts w:ascii="Sylfaen" w:hAnsi="Sylfaen"/>
          <w:lang w:val="ka-GE"/>
        </w:rPr>
        <w:t xml:space="preserve"> </w:t>
      </w:r>
      <w:r w:rsidR="00F767E0">
        <w:rPr>
          <w:rFonts w:ascii="Sylfaen" w:hAnsi="Sylfaen"/>
          <w:lang w:val="ka-GE"/>
        </w:rPr>
        <w:t xml:space="preserve"> </w:t>
      </w:r>
      <w:r w:rsidR="00F767E0">
        <w:rPr>
          <w:rFonts w:ascii="Sylfaen" w:hAnsi="Sylfaen"/>
          <w:b/>
          <w:lang w:val="ka-GE"/>
        </w:rPr>
        <w:t>24</w:t>
      </w:r>
      <w:r w:rsidRPr="00506F6B">
        <w:rPr>
          <w:rFonts w:ascii="Sylfaen" w:hAnsi="Sylfaen"/>
          <w:b/>
          <w:lang w:val="ka-GE"/>
        </w:rPr>
        <w:t>%-ისთვის</w:t>
      </w:r>
      <w:r w:rsidRPr="00506F6B">
        <w:rPr>
          <w:rFonts w:ascii="Sylfaen" w:hAnsi="Sylfaen"/>
          <w:lang w:val="ka-GE"/>
        </w:rPr>
        <w:t xml:space="preserve"> შეადგინა </w:t>
      </w:r>
      <w:r w:rsidR="00F767E0">
        <w:rPr>
          <w:rFonts w:ascii="Sylfaen" w:hAnsi="Sylfaen"/>
          <w:b/>
          <w:lang w:val="ka-GE"/>
        </w:rPr>
        <w:t>20</w:t>
      </w:r>
      <w:r w:rsidRPr="00506F6B">
        <w:rPr>
          <w:rFonts w:ascii="Sylfaen" w:hAnsi="Sylfaen"/>
          <w:b/>
          <w:lang w:val="ka-GE"/>
        </w:rPr>
        <w:t xml:space="preserve">-დან </w:t>
      </w:r>
      <w:r w:rsidR="00F767E0">
        <w:rPr>
          <w:rFonts w:ascii="Sylfaen" w:hAnsi="Sylfaen"/>
          <w:b/>
          <w:lang w:val="ka-GE"/>
        </w:rPr>
        <w:t xml:space="preserve">55 </w:t>
      </w:r>
      <w:r w:rsidRPr="00506F6B">
        <w:rPr>
          <w:rFonts w:ascii="Sylfaen" w:hAnsi="Sylfaen"/>
          <w:b/>
          <w:lang w:val="ka-GE"/>
        </w:rPr>
        <w:t>დღემდე.</w:t>
      </w:r>
      <w:r>
        <w:rPr>
          <w:rFonts w:ascii="Sylfaen" w:hAnsi="Sylfaen"/>
          <w:b/>
          <w:lang w:val="ka-GE"/>
        </w:rPr>
        <w:t xml:space="preserve"> აქვე, ერთ შემთხვევაში, სხვაობამ შეადგინა </w:t>
      </w:r>
      <w:r w:rsidR="00F767E0">
        <w:rPr>
          <w:rFonts w:ascii="Sylfaen" w:hAnsi="Sylfaen"/>
          <w:b/>
          <w:lang w:val="ka-GE"/>
        </w:rPr>
        <w:t>102</w:t>
      </w:r>
      <w:r>
        <w:rPr>
          <w:rFonts w:ascii="Sylfaen" w:hAnsi="Sylfaen"/>
          <w:b/>
          <w:lang w:val="ka-GE"/>
        </w:rPr>
        <w:t xml:space="preserve"> დღე.</w:t>
      </w:r>
      <w:r w:rsidR="00462DB6">
        <w:rPr>
          <w:rFonts w:ascii="Sylfaen" w:hAnsi="Sylfaen"/>
          <w:b/>
          <w:lang w:val="ka-GE"/>
        </w:rPr>
        <w:t xml:space="preserve"> ხაზგასასმელია, რომ ამ ვიზიტებს შორის დროის მანძილი, პაციენტის </w:t>
      </w:r>
      <w:r w:rsidR="009C7B0C">
        <w:rPr>
          <w:rFonts w:ascii="Sylfaen" w:hAnsi="Sylfaen"/>
          <w:b/>
          <w:lang w:val="ka-GE"/>
        </w:rPr>
        <w:t xml:space="preserve">მიმართვის გარდა, ასევე, </w:t>
      </w:r>
      <w:r w:rsidR="00462DB6">
        <w:rPr>
          <w:rFonts w:ascii="Sylfaen" w:hAnsi="Sylfaen"/>
          <w:b/>
          <w:lang w:val="ka-GE"/>
        </w:rPr>
        <w:t>დამოკიდებულია, კვლევების შედეგების მისაღებად საჭირო დროის შუალედზე.</w:t>
      </w:r>
    </w:p>
    <w:p w:rsidR="00F767E0" w:rsidRDefault="00F767E0" w:rsidP="00506F6B">
      <w:pPr>
        <w:ind w:left="360"/>
        <w:jc w:val="both"/>
        <w:rPr>
          <w:rFonts w:ascii="Sylfaen" w:hAnsi="Sylfaen"/>
          <w:b/>
          <w:lang w:val="ka-GE"/>
        </w:rPr>
      </w:pPr>
      <w:r>
        <w:rPr>
          <w:noProof/>
        </w:rPr>
        <w:drawing>
          <wp:inline distT="0" distB="0" distL="0" distR="0" wp14:anchorId="0B2FBC08" wp14:editId="414D2A11">
            <wp:extent cx="5943600" cy="62103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93171" w:rsidRPr="009C7B0C" w:rsidRDefault="00693171" w:rsidP="009C7B0C">
      <w:pPr>
        <w:pStyle w:val="ListParagraph"/>
        <w:numPr>
          <w:ilvl w:val="0"/>
          <w:numId w:val="6"/>
        </w:numPr>
        <w:rPr>
          <w:rFonts w:ascii="Sylfaen" w:hAnsi="Sylfaen"/>
          <w:b/>
          <w:u w:val="single"/>
          <w:lang w:val="ka-GE"/>
        </w:rPr>
      </w:pPr>
      <w:r w:rsidRPr="009C7B0C">
        <w:rPr>
          <w:rFonts w:ascii="Sylfaen" w:hAnsi="Sylfaen"/>
          <w:b/>
          <w:lang w:val="ka-GE"/>
        </w:rPr>
        <w:br w:type="page"/>
      </w:r>
      <w:r w:rsidRPr="009C7B0C">
        <w:rPr>
          <w:rFonts w:ascii="Sylfaen" w:hAnsi="Sylfaen" w:cs="Sylfaen"/>
          <w:b/>
          <w:u w:val="single"/>
          <w:lang w:val="ka-GE"/>
        </w:rPr>
        <w:lastRenderedPageBreak/>
        <w:t>გზა</w:t>
      </w:r>
      <w:r w:rsidRPr="009C7B0C">
        <w:rPr>
          <w:rFonts w:ascii="Sylfaen" w:hAnsi="Sylfaen"/>
          <w:b/>
          <w:u w:val="single"/>
          <w:lang w:val="ka-GE"/>
        </w:rPr>
        <w:t xml:space="preserve"> ექიმთან მეორე ვიზიტიდან რეგისტრაციამდე</w:t>
      </w:r>
      <w:r w:rsidR="009C7B0C">
        <w:rPr>
          <w:rFonts w:ascii="Sylfaen" w:hAnsi="Sylfaen"/>
          <w:b/>
          <w:u w:val="single"/>
          <w:lang w:val="ka-GE"/>
        </w:rPr>
        <w:t>.</w:t>
      </w:r>
    </w:p>
    <w:p w:rsidR="00693171" w:rsidRDefault="00693171" w:rsidP="00693171">
      <w:pPr>
        <w:jc w:val="both"/>
        <w:rPr>
          <w:rFonts w:ascii="Sylfaen" w:hAnsi="Sylfaen"/>
          <w:b/>
          <w:lang w:val="ka-GE"/>
        </w:rPr>
      </w:pPr>
      <w:r w:rsidRPr="00506F6B">
        <w:rPr>
          <w:rFonts w:ascii="Sylfaen" w:hAnsi="Sylfaen" w:cs="Sylfaen"/>
          <w:lang w:val="ka-GE"/>
        </w:rPr>
        <w:t>პერიოდი</w:t>
      </w:r>
      <w:r w:rsidRPr="00506F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საშუალოდ </w:t>
      </w:r>
      <w:r w:rsidRPr="00506F6B">
        <w:rPr>
          <w:rFonts w:ascii="Sylfaen" w:hAnsi="Sylfaen"/>
          <w:lang w:val="ka-GE"/>
        </w:rPr>
        <w:t xml:space="preserve">მერყეობს 0-დან </w:t>
      </w:r>
      <w:r>
        <w:rPr>
          <w:rFonts w:ascii="Sylfaen" w:hAnsi="Sylfaen"/>
          <w:lang w:val="ka-GE"/>
        </w:rPr>
        <w:t>52</w:t>
      </w:r>
      <w:r w:rsidRPr="00506F6B">
        <w:rPr>
          <w:rFonts w:ascii="Sylfaen" w:hAnsi="Sylfaen"/>
          <w:lang w:val="ka-GE"/>
        </w:rPr>
        <w:t xml:space="preserve"> დღემდე. 50 პაციენტიდან </w:t>
      </w:r>
      <w:r>
        <w:rPr>
          <w:rFonts w:ascii="Sylfaen" w:hAnsi="Sylfaen"/>
          <w:b/>
          <w:lang w:val="ka-GE"/>
        </w:rPr>
        <w:t>94</w:t>
      </w:r>
      <w:r w:rsidRPr="00506F6B">
        <w:rPr>
          <w:rFonts w:ascii="Sylfaen" w:hAnsi="Sylfaen"/>
          <w:b/>
          <w:lang w:val="ka-GE"/>
        </w:rPr>
        <w:t>%</w:t>
      </w:r>
      <w:r w:rsidRPr="00506F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ექიმთან მეორე ვიზიტის შემდეგ სააგენტოსა და მის ფილიალებში დარეგისტრირდა </w:t>
      </w:r>
      <w:r w:rsidRPr="00506F6B">
        <w:rPr>
          <w:rFonts w:ascii="Sylfaen" w:hAnsi="Sylfaen"/>
          <w:b/>
          <w:lang w:val="ka-GE"/>
        </w:rPr>
        <w:t>ერთი კვირის ვადაში.</w:t>
      </w:r>
      <w:r w:rsidRPr="00506F6B">
        <w:rPr>
          <w:rFonts w:ascii="Sylfaen" w:hAnsi="Sylfaen"/>
          <w:lang w:val="ka-GE"/>
        </w:rPr>
        <w:t xml:space="preserve"> თითქმის </w:t>
      </w:r>
      <w:r>
        <w:rPr>
          <w:rFonts w:ascii="Sylfaen" w:hAnsi="Sylfaen"/>
          <w:b/>
          <w:lang w:val="ka-GE"/>
        </w:rPr>
        <w:t>4</w:t>
      </w:r>
      <w:r w:rsidRPr="00506F6B">
        <w:rPr>
          <w:rFonts w:ascii="Sylfaen" w:hAnsi="Sylfaen"/>
          <w:b/>
          <w:lang w:val="ka-GE"/>
        </w:rPr>
        <w:t>%</w:t>
      </w:r>
      <w:r w:rsidRPr="00506F6B">
        <w:rPr>
          <w:rFonts w:ascii="Sylfaen" w:hAnsi="Sylfaen"/>
          <w:lang w:val="ka-GE"/>
        </w:rPr>
        <w:t xml:space="preserve">-ს ამისთვის დასჭირდა </w:t>
      </w:r>
      <w:r>
        <w:rPr>
          <w:rFonts w:ascii="Sylfaen" w:hAnsi="Sylfaen"/>
          <w:b/>
          <w:lang w:val="ka-GE"/>
        </w:rPr>
        <w:t>10</w:t>
      </w:r>
      <w:r w:rsidRPr="00506F6B">
        <w:rPr>
          <w:rFonts w:ascii="Sylfaen" w:hAnsi="Sylfaen"/>
          <w:b/>
          <w:lang w:val="ka-GE"/>
        </w:rPr>
        <w:t xml:space="preserve">-დან </w:t>
      </w:r>
      <w:r>
        <w:rPr>
          <w:rFonts w:ascii="Sylfaen" w:hAnsi="Sylfaen"/>
          <w:b/>
          <w:lang w:val="ka-GE"/>
        </w:rPr>
        <w:t>14</w:t>
      </w:r>
      <w:r w:rsidRPr="00506F6B">
        <w:rPr>
          <w:rFonts w:ascii="Sylfaen" w:hAnsi="Sylfaen"/>
          <w:b/>
          <w:lang w:val="ka-GE"/>
        </w:rPr>
        <w:t xml:space="preserve"> დღემდე,</w:t>
      </w:r>
      <w:r w:rsidRPr="00506F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ერთ შემთხვევაში, სხვაობამ შეადგინა 52 დღე.</w:t>
      </w:r>
    </w:p>
    <w:p w:rsidR="00693171" w:rsidRDefault="00693171">
      <w:pPr>
        <w:rPr>
          <w:noProof/>
        </w:rPr>
      </w:pPr>
    </w:p>
    <w:p w:rsidR="00506F6B" w:rsidRDefault="00693171" w:rsidP="00693171">
      <w:pPr>
        <w:jc w:val="both"/>
        <w:rPr>
          <w:rFonts w:ascii="Sylfaen" w:hAnsi="Sylfaen"/>
          <w:b/>
          <w:lang w:val="ka-GE"/>
        </w:rPr>
      </w:pPr>
      <w:r>
        <w:rPr>
          <w:noProof/>
        </w:rPr>
        <w:drawing>
          <wp:inline distT="0" distB="0" distL="0" distR="0" wp14:anchorId="2C3742AC" wp14:editId="5F0592FB">
            <wp:extent cx="5943600" cy="619125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3171" w:rsidRDefault="00693171" w:rsidP="00693171">
      <w:pPr>
        <w:jc w:val="both"/>
        <w:rPr>
          <w:rFonts w:ascii="Sylfaen" w:hAnsi="Sylfaen"/>
          <w:b/>
          <w:lang w:val="ka-GE"/>
        </w:rPr>
      </w:pPr>
    </w:p>
    <w:p w:rsidR="00693171" w:rsidRPr="00CC30DF" w:rsidRDefault="00693171" w:rsidP="00462DB6">
      <w:pPr>
        <w:pStyle w:val="ListParagraph"/>
        <w:numPr>
          <w:ilvl w:val="0"/>
          <w:numId w:val="6"/>
        </w:numPr>
        <w:rPr>
          <w:rFonts w:ascii="Sylfaen" w:hAnsi="Sylfaen"/>
          <w:b/>
          <w:u w:val="single"/>
          <w:lang w:val="ka-GE"/>
        </w:rPr>
      </w:pPr>
      <w:r w:rsidRPr="00CC30DF">
        <w:rPr>
          <w:rFonts w:ascii="Sylfaen" w:hAnsi="Sylfaen" w:cs="Sylfaen"/>
          <w:b/>
          <w:u w:val="single"/>
          <w:lang w:val="ka-GE"/>
        </w:rPr>
        <w:lastRenderedPageBreak/>
        <w:t>გზა</w:t>
      </w:r>
      <w:r w:rsidRPr="00CC30DF">
        <w:rPr>
          <w:rFonts w:ascii="Sylfaen" w:hAnsi="Sylfaen"/>
          <w:b/>
          <w:u w:val="single"/>
          <w:lang w:val="ka-GE"/>
        </w:rPr>
        <w:t xml:space="preserve"> რეგისტრაციიდან კომისიამდე</w:t>
      </w:r>
    </w:p>
    <w:p w:rsidR="00693171" w:rsidRDefault="00693171" w:rsidP="00693171">
      <w:pPr>
        <w:jc w:val="both"/>
        <w:rPr>
          <w:rFonts w:ascii="Sylfaen" w:hAnsi="Sylfaen"/>
          <w:b/>
          <w:lang w:val="ka-GE"/>
        </w:rPr>
      </w:pPr>
      <w:r w:rsidRPr="00506F6B">
        <w:rPr>
          <w:rFonts w:ascii="Sylfaen" w:hAnsi="Sylfaen" w:cs="Sylfaen"/>
          <w:lang w:val="ka-GE"/>
        </w:rPr>
        <w:t>პერიოდი</w:t>
      </w:r>
      <w:r w:rsidRPr="00506F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საშუალოდ </w:t>
      </w:r>
      <w:r w:rsidRPr="00506F6B">
        <w:rPr>
          <w:rFonts w:ascii="Sylfaen" w:hAnsi="Sylfaen"/>
          <w:lang w:val="ka-GE"/>
        </w:rPr>
        <w:t xml:space="preserve">მერყეობს </w:t>
      </w:r>
      <w:r>
        <w:rPr>
          <w:rFonts w:ascii="Sylfaen" w:hAnsi="Sylfaen"/>
          <w:lang w:val="ka-GE"/>
        </w:rPr>
        <w:t>2</w:t>
      </w:r>
      <w:r w:rsidRPr="00506F6B">
        <w:rPr>
          <w:rFonts w:ascii="Sylfaen" w:hAnsi="Sylfaen"/>
          <w:lang w:val="ka-GE"/>
        </w:rPr>
        <w:t xml:space="preserve">-დან </w:t>
      </w:r>
      <w:r>
        <w:rPr>
          <w:rFonts w:ascii="Sylfaen" w:hAnsi="Sylfaen"/>
          <w:lang w:val="ka-GE"/>
        </w:rPr>
        <w:t>26</w:t>
      </w:r>
      <w:r w:rsidRPr="00506F6B">
        <w:rPr>
          <w:rFonts w:ascii="Sylfaen" w:hAnsi="Sylfaen"/>
          <w:lang w:val="ka-GE"/>
        </w:rPr>
        <w:t xml:space="preserve"> დღემდე. 50 პაციენტიდან  </w:t>
      </w:r>
      <w:r w:rsidR="00CC30DF">
        <w:rPr>
          <w:rFonts w:ascii="Sylfaen" w:hAnsi="Sylfaen"/>
          <w:lang w:val="ka-GE"/>
        </w:rPr>
        <w:t xml:space="preserve">შემთხვევების </w:t>
      </w:r>
      <w:r w:rsidR="009C7B0C">
        <w:rPr>
          <w:rFonts w:ascii="Sylfaen" w:hAnsi="Sylfaen"/>
          <w:b/>
          <w:lang w:val="ka-GE"/>
        </w:rPr>
        <w:t>32</w:t>
      </w:r>
      <w:r w:rsidR="009C7B0C" w:rsidRPr="00506F6B">
        <w:rPr>
          <w:rFonts w:ascii="Sylfaen" w:hAnsi="Sylfaen"/>
          <w:b/>
          <w:lang w:val="ka-GE"/>
        </w:rPr>
        <w:t>%</w:t>
      </w:r>
      <w:r w:rsidR="009C7B0C">
        <w:rPr>
          <w:rFonts w:ascii="Sylfaen" w:hAnsi="Sylfaen"/>
          <w:b/>
          <w:lang w:val="ka-GE"/>
        </w:rPr>
        <w:t xml:space="preserve"> </w:t>
      </w:r>
      <w:r w:rsidR="00CC30DF">
        <w:rPr>
          <w:rFonts w:ascii="Sylfaen" w:hAnsi="Sylfaen"/>
          <w:lang w:val="ka-GE"/>
        </w:rPr>
        <w:t xml:space="preserve">კომისიურად განხილულ იქნა </w:t>
      </w:r>
      <w:r w:rsidRPr="00506F6B">
        <w:rPr>
          <w:rFonts w:ascii="Sylfaen" w:hAnsi="Sylfaen"/>
          <w:b/>
          <w:lang w:val="ka-GE"/>
        </w:rPr>
        <w:t>ერთი კვირის ვადაში.</w:t>
      </w:r>
      <w:r w:rsidRPr="00506F6B">
        <w:rPr>
          <w:rFonts w:ascii="Sylfaen" w:hAnsi="Sylfaen"/>
          <w:lang w:val="ka-GE"/>
        </w:rPr>
        <w:t xml:space="preserve"> თითქმის </w:t>
      </w:r>
      <w:r w:rsidR="00CC30DF">
        <w:rPr>
          <w:rFonts w:ascii="Sylfaen" w:hAnsi="Sylfaen"/>
          <w:b/>
          <w:lang w:val="ka-GE"/>
        </w:rPr>
        <w:t>62</w:t>
      </w:r>
      <w:r w:rsidRPr="00506F6B">
        <w:rPr>
          <w:rFonts w:ascii="Sylfaen" w:hAnsi="Sylfaen"/>
          <w:b/>
          <w:lang w:val="ka-GE"/>
        </w:rPr>
        <w:t>%</w:t>
      </w:r>
      <w:r w:rsidRPr="00506F6B">
        <w:rPr>
          <w:rFonts w:ascii="Sylfaen" w:hAnsi="Sylfaen"/>
          <w:lang w:val="ka-GE"/>
        </w:rPr>
        <w:t xml:space="preserve">-ს ამისთვის დასჭირდა </w:t>
      </w:r>
      <w:r w:rsidR="00CC30DF">
        <w:rPr>
          <w:rFonts w:ascii="Sylfaen" w:hAnsi="Sylfaen"/>
          <w:b/>
          <w:lang w:val="ka-GE"/>
        </w:rPr>
        <w:t>8</w:t>
      </w:r>
      <w:r w:rsidRPr="00506F6B">
        <w:rPr>
          <w:rFonts w:ascii="Sylfaen" w:hAnsi="Sylfaen"/>
          <w:b/>
          <w:lang w:val="ka-GE"/>
        </w:rPr>
        <w:t xml:space="preserve">-დან </w:t>
      </w:r>
      <w:r w:rsidR="00CC30DF">
        <w:rPr>
          <w:rFonts w:ascii="Sylfaen" w:hAnsi="Sylfaen"/>
          <w:b/>
          <w:lang w:val="ka-GE"/>
        </w:rPr>
        <w:t>20</w:t>
      </w:r>
      <w:r w:rsidRPr="00506F6B">
        <w:rPr>
          <w:rFonts w:ascii="Sylfaen" w:hAnsi="Sylfaen"/>
          <w:b/>
          <w:lang w:val="ka-GE"/>
        </w:rPr>
        <w:t xml:space="preserve"> დღემდე,</w:t>
      </w:r>
      <w:r w:rsidRPr="00506F6B">
        <w:rPr>
          <w:rFonts w:ascii="Sylfaen" w:hAnsi="Sylfaen"/>
          <w:lang w:val="ka-GE"/>
        </w:rPr>
        <w:t xml:space="preserve"> </w:t>
      </w:r>
      <w:r w:rsidR="00CC30DF">
        <w:rPr>
          <w:rFonts w:ascii="Sylfaen" w:hAnsi="Sylfaen"/>
          <w:b/>
          <w:lang w:val="ka-GE"/>
        </w:rPr>
        <w:t xml:space="preserve"> შემთხვევების </w:t>
      </w:r>
      <w:r w:rsidR="0019411E">
        <w:rPr>
          <w:rFonts w:ascii="Sylfaen" w:hAnsi="Sylfaen"/>
          <w:b/>
          <w:lang w:val="ka-GE"/>
        </w:rPr>
        <w:t xml:space="preserve">6% </w:t>
      </w:r>
      <w:r w:rsidR="00CC30DF">
        <w:rPr>
          <w:rFonts w:ascii="Sylfaen" w:hAnsi="Sylfaen"/>
          <w:b/>
          <w:lang w:val="ka-GE"/>
        </w:rPr>
        <w:t>განხილულ იქნა 20-26 დღემდე პერიოდში.</w:t>
      </w:r>
    </w:p>
    <w:p w:rsidR="00693171" w:rsidRDefault="00CC30DF" w:rsidP="00693171">
      <w:pPr>
        <w:jc w:val="both"/>
        <w:rPr>
          <w:rFonts w:ascii="Sylfaen" w:hAnsi="Sylfaen"/>
          <w:b/>
          <w:lang w:val="ka-GE"/>
        </w:rPr>
      </w:pPr>
      <w:r>
        <w:rPr>
          <w:noProof/>
        </w:rPr>
        <w:drawing>
          <wp:inline distT="0" distB="0" distL="0" distR="0" wp14:anchorId="216B94E8" wp14:editId="373C4B6B">
            <wp:extent cx="6296025" cy="6753225"/>
            <wp:effectExtent l="0" t="0" r="9525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C30DF" w:rsidRDefault="00CC30D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:rsidR="00CC30DF" w:rsidRPr="009C7B0C" w:rsidRDefault="00CC30DF" w:rsidP="00462DB6">
      <w:pPr>
        <w:pStyle w:val="ListParagraph"/>
        <w:numPr>
          <w:ilvl w:val="0"/>
          <w:numId w:val="6"/>
        </w:numPr>
        <w:rPr>
          <w:rFonts w:ascii="Sylfaen" w:hAnsi="Sylfaen"/>
          <w:b/>
          <w:u w:val="single"/>
          <w:lang w:val="ka-GE"/>
        </w:rPr>
      </w:pPr>
      <w:r w:rsidRPr="009C7B0C">
        <w:rPr>
          <w:rFonts w:ascii="Sylfaen" w:hAnsi="Sylfaen" w:cs="Sylfaen"/>
          <w:b/>
          <w:u w:val="single"/>
          <w:lang w:val="ka-GE"/>
        </w:rPr>
        <w:lastRenderedPageBreak/>
        <w:t>გზა</w:t>
      </w:r>
      <w:r w:rsidRPr="009C7B0C">
        <w:rPr>
          <w:rFonts w:ascii="Sylfaen" w:hAnsi="Sylfaen"/>
          <w:b/>
          <w:u w:val="single"/>
          <w:lang w:val="ka-GE"/>
        </w:rPr>
        <w:t xml:space="preserve"> კომისიური განხილვიდან  მედიკამენტის პირველ მიღებამდე.</w:t>
      </w:r>
    </w:p>
    <w:p w:rsidR="00CC30DF" w:rsidRDefault="00CC30DF" w:rsidP="00CC30DF">
      <w:pPr>
        <w:jc w:val="both"/>
        <w:rPr>
          <w:rFonts w:ascii="Sylfaen" w:hAnsi="Sylfaen"/>
          <w:b/>
          <w:lang w:val="ka-GE"/>
        </w:rPr>
      </w:pPr>
      <w:r w:rsidRPr="00506F6B">
        <w:rPr>
          <w:rFonts w:ascii="Sylfaen" w:hAnsi="Sylfaen" w:cs="Sylfaen"/>
          <w:lang w:val="ka-GE"/>
        </w:rPr>
        <w:t>პერიოდი</w:t>
      </w:r>
      <w:r w:rsidRPr="00506F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საშუალოდ </w:t>
      </w:r>
      <w:r w:rsidRPr="00506F6B">
        <w:rPr>
          <w:rFonts w:ascii="Sylfaen" w:hAnsi="Sylfaen"/>
          <w:lang w:val="ka-GE"/>
        </w:rPr>
        <w:t xml:space="preserve">მერყეობს </w:t>
      </w:r>
      <w:r>
        <w:rPr>
          <w:rFonts w:ascii="Sylfaen" w:hAnsi="Sylfaen"/>
          <w:lang w:val="ka-GE"/>
        </w:rPr>
        <w:t>5</w:t>
      </w:r>
      <w:r w:rsidRPr="00506F6B">
        <w:rPr>
          <w:rFonts w:ascii="Sylfaen" w:hAnsi="Sylfaen"/>
          <w:lang w:val="ka-GE"/>
        </w:rPr>
        <w:t xml:space="preserve">-დან </w:t>
      </w:r>
      <w:r>
        <w:rPr>
          <w:rFonts w:ascii="Sylfaen" w:hAnsi="Sylfaen"/>
          <w:lang w:val="ka-GE"/>
        </w:rPr>
        <w:t>47</w:t>
      </w:r>
      <w:r w:rsidRPr="00506F6B">
        <w:rPr>
          <w:rFonts w:ascii="Sylfaen" w:hAnsi="Sylfaen"/>
          <w:lang w:val="ka-GE"/>
        </w:rPr>
        <w:t xml:space="preserve"> დღემდე. 50 პაციენტიდან </w:t>
      </w:r>
      <w:r>
        <w:rPr>
          <w:rFonts w:ascii="Sylfaen" w:hAnsi="Sylfaen"/>
          <w:b/>
          <w:lang w:val="ka-GE"/>
        </w:rPr>
        <w:t>74</w:t>
      </w:r>
      <w:r w:rsidRPr="00506F6B">
        <w:rPr>
          <w:rFonts w:ascii="Sylfaen" w:hAnsi="Sylfaen"/>
          <w:b/>
          <w:lang w:val="ka-GE"/>
        </w:rPr>
        <w:t>%</w:t>
      </w:r>
      <w:r>
        <w:rPr>
          <w:rFonts w:ascii="Sylfaen" w:hAnsi="Sylfaen"/>
          <w:lang w:val="ka-GE"/>
        </w:rPr>
        <w:t xml:space="preserve">-მა პირველი ტაბლეტი მიიღო </w:t>
      </w:r>
      <w:r w:rsidRPr="00CC30DF">
        <w:rPr>
          <w:rFonts w:ascii="Sylfaen" w:hAnsi="Sylfaen"/>
          <w:b/>
          <w:lang w:val="ka-GE"/>
        </w:rPr>
        <w:t>5-დან 20 დღემდე</w:t>
      </w:r>
      <w:r>
        <w:rPr>
          <w:rFonts w:ascii="Sylfaen" w:hAnsi="Sylfaen"/>
          <w:lang w:val="ka-GE"/>
        </w:rPr>
        <w:t xml:space="preserve"> ვადაში, </w:t>
      </w:r>
      <w:r w:rsidRPr="00506F6B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b/>
          <w:lang w:val="ka-GE"/>
        </w:rPr>
        <w:t>26</w:t>
      </w:r>
      <w:r w:rsidRPr="00506F6B">
        <w:rPr>
          <w:rFonts w:ascii="Sylfaen" w:hAnsi="Sylfaen"/>
          <w:b/>
          <w:lang w:val="ka-GE"/>
        </w:rPr>
        <w:t>%</w:t>
      </w:r>
      <w:r w:rsidRPr="00506F6B">
        <w:rPr>
          <w:rFonts w:ascii="Sylfaen" w:hAnsi="Sylfaen"/>
          <w:lang w:val="ka-GE"/>
        </w:rPr>
        <w:t xml:space="preserve">-ს ამისთვის დასჭირდა </w:t>
      </w:r>
      <w:r>
        <w:rPr>
          <w:rFonts w:ascii="Sylfaen" w:hAnsi="Sylfaen"/>
          <w:b/>
          <w:lang w:val="ka-GE"/>
        </w:rPr>
        <w:t>20</w:t>
      </w:r>
      <w:r w:rsidRPr="00506F6B">
        <w:rPr>
          <w:rFonts w:ascii="Sylfaen" w:hAnsi="Sylfaen"/>
          <w:b/>
          <w:lang w:val="ka-GE"/>
        </w:rPr>
        <w:t xml:space="preserve">-დან </w:t>
      </w:r>
      <w:r>
        <w:rPr>
          <w:rFonts w:ascii="Sylfaen" w:hAnsi="Sylfaen"/>
          <w:b/>
          <w:lang w:val="ka-GE"/>
        </w:rPr>
        <w:t>47</w:t>
      </w:r>
      <w:r w:rsidRPr="00506F6B">
        <w:rPr>
          <w:rFonts w:ascii="Sylfaen" w:hAnsi="Sylfaen"/>
          <w:b/>
          <w:lang w:val="ka-GE"/>
        </w:rPr>
        <w:t xml:space="preserve"> დღემდე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</w:p>
    <w:p w:rsidR="00CC30DF" w:rsidRDefault="00CC30DF">
      <w:pPr>
        <w:rPr>
          <w:rFonts w:ascii="Sylfaen" w:hAnsi="Sylfaen"/>
          <w:b/>
          <w:lang w:val="ka-GE"/>
        </w:rPr>
      </w:pPr>
      <w:r>
        <w:rPr>
          <w:noProof/>
        </w:rPr>
        <w:drawing>
          <wp:inline distT="0" distB="0" distL="0" distR="0" wp14:anchorId="6DF7B427" wp14:editId="17401DE3">
            <wp:extent cx="5943600" cy="619125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81ACA" w:rsidRDefault="00A81AC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:rsidR="00CC30DF" w:rsidRDefault="00A81ACA" w:rsidP="0069317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სულ დროის შუალედი სკრინინგული კვლევიდან მედიკამენტის პირველ მიღებამდე განისაზღვრა საშუალოდ 81 დღით (დაახლოებით 2 თვე და 3 კვირა). ამასთან 24% შემთხვევაში შეადგინა 2 თვე, 54%-ში 3 თვე, ხოლო 22% შემთხვევაში 3 თვეზე მეტი.</w:t>
      </w:r>
    </w:p>
    <w:p w:rsidR="00A81ACA" w:rsidRDefault="00A81ACA" w:rsidP="00693171">
      <w:pPr>
        <w:jc w:val="both"/>
        <w:rPr>
          <w:rFonts w:ascii="Sylfaen" w:hAnsi="Sylfaen"/>
          <w:b/>
          <w:lang w:val="ka-GE"/>
        </w:rPr>
      </w:pPr>
    </w:p>
    <w:p w:rsidR="00A81ACA" w:rsidRDefault="00A81ACA" w:rsidP="00693171">
      <w:pPr>
        <w:jc w:val="both"/>
        <w:rPr>
          <w:rFonts w:ascii="Sylfaen" w:hAnsi="Sylfaen"/>
          <w:b/>
          <w:lang w:val="ka-GE"/>
        </w:rPr>
      </w:pPr>
      <w:r>
        <w:rPr>
          <w:noProof/>
        </w:rPr>
        <w:drawing>
          <wp:inline distT="0" distB="0" distL="0" distR="0" wp14:anchorId="6E48A188" wp14:editId="3E93DA86">
            <wp:extent cx="6143625" cy="3000375"/>
            <wp:effectExtent l="0" t="0" r="952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81ACA" w:rsidRDefault="00A81ACA" w:rsidP="00693171">
      <w:pPr>
        <w:jc w:val="both"/>
        <w:rPr>
          <w:rFonts w:ascii="Sylfaen" w:hAnsi="Sylfaen"/>
          <w:b/>
          <w:lang w:val="ka-GE"/>
        </w:rPr>
      </w:pPr>
    </w:p>
    <w:p w:rsidR="00A81ACA" w:rsidRDefault="00A81ACA" w:rsidP="00A81AC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სულ დროის შუალედი </w:t>
      </w:r>
      <w:r>
        <w:rPr>
          <w:rFonts w:ascii="Sylfaen" w:hAnsi="Sylfaen"/>
          <w:b/>
        </w:rPr>
        <w:t>HCV RNA</w:t>
      </w:r>
      <w:r>
        <w:rPr>
          <w:rFonts w:ascii="Sylfaen" w:hAnsi="Sylfaen"/>
          <w:b/>
          <w:lang w:val="ka-GE"/>
        </w:rPr>
        <w:t xml:space="preserve"> კვლევიდან მედიკამენტის პირველ მიღებამდე განისაზღვრა საშუალოდ </w:t>
      </w:r>
      <w:r>
        <w:rPr>
          <w:rFonts w:ascii="Sylfaen" w:hAnsi="Sylfaen"/>
          <w:b/>
        </w:rPr>
        <w:t>72</w:t>
      </w:r>
      <w:r>
        <w:rPr>
          <w:rFonts w:ascii="Sylfaen" w:hAnsi="Sylfaen"/>
          <w:b/>
          <w:lang w:val="ka-GE"/>
        </w:rPr>
        <w:t xml:space="preserve"> დღით (დაახლოებით 2 თვე და </w:t>
      </w:r>
      <w:r>
        <w:rPr>
          <w:rFonts w:ascii="Sylfaen" w:hAnsi="Sylfaen"/>
          <w:b/>
        </w:rPr>
        <w:t xml:space="preserve">10 </w:t>
      </w:r>
      <w:r>
        <w:rPr>
          <w:rFonts w:ascii="Sylfaen" w:hAnsi="Sylfaen"/>
          <w:b/>
          <w:lang w:val="ka-GE"/>
        </w:rPr>
        <w:t xml:space="preserve">დღე). ამასთან </w:t>
      </w:r>
      <w:r w:rsidR="001704A1">
        <w:rPr>
          <w:rFonts w:ascii="Sylfaen" w:hAnsi="Sylfaen"/>
          <w:b/>
          <w:lang w:val="ka-GE"/>
        </w:rPr>
        <w:t>40</w:t>
      </w:r>
      <w:r>
        <w:rPr>
          <w:rFonts w:ascii="Sylfaen" w:hAnsi="Sylfaen"/>
          <w:b/>
          <w:lang w:val="ka-GE"/>
        </w:rPr>
        <w:t xml:space="preserve">% შემთხვევაში შეადგინა 2 თვე, </w:t>
      </w:r>
      <w:r w:rsidR="001704A1">
        <w:rPr>
          <w:rFonts w:ascii="Sylfaen" w:hAnsi="Sylfaen"/>
          <w:b/>
          <w:lang w:val="ka-GE"/>
        </w:rPr>
        <w:t>48</w:t>
      </w:r>
      <w:r>
        <w:rPr>
          <w:rFonts w:ascii="Sylfaen" w:hAnsi="Sylfaen"/>
          <w:b/>
          <w:lang w:val="ka-GE"/>
        </w:rPr>
        <w:t xml:space="preserve">%-ში 3 თვე, ხოლო </w:t>
      </w:r>
      <w:r w:rsidR="001704A1">
        <w:rPr>
          <w:rFonts w:ascii="Sylfaen" w:hAnsi="Sylfaen"/>
          <w:b/>
          <w:lang w:val="ka-GE"/>
        </w:rPr>
        <w:t>12</w:t>
      </w:r>
      <w:r>
        <w:rPr>
          <w:rFonts w:ascii="Sylfaen" w:hAnsi="Sylfaen"/>
          <w:b/>
          <w:lang w:val="ka-GE"/>
        </w:rPr>
        <w:t>% შემთხვევაში 3 თვეზე მეტი.</w:t>
      </w:r>
    </w:p>
    <w:p w:rsidR="00A81ACA" w:rsidRPr="00693171" w:rsidRDefault="001704A1" w:rsidP="00693171">
      <w:pPr>
        <w:jc w:val="both"/>
        <w:rPr>
          <w:rFonts w:ascii="Sylfaen" w:hAnsi="Sylfaen"/>
          <w:b/>
          <w:lang w:val="ka-GE"/>
        </w:rPr>
      </w:pPr>
      <w:r>
        <w:rPr>
          <w:noProof/>
        </w:rPr>
        <w:drawing>
          <wp:inline distT="0" distB="0" distL="0" distR="0" wp14:anchorId="6192B0C0" wp14:editId="63BB2EB1">
            <wp:extent cx="6096000" cy="27432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A81ACA" w:rsidRPr="00693171" w:rsidSect="00967F79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03ED"/>
    <w:multiLevelType w:val="hybridMultilevel"/>
    <w:tmpl w:val="B40CA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65C3"/>
    <w:multiLevelType w:val="hybridMultilevel"/>
    <w:tmpl w:val="BB623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D7AE0"/>
    <w:multiLevelType w:val="hybridMultilevel"/>
    <w:tmpl w:val="24E83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A66CE"/>
    <w:multiLevelType w:val="hybridMultilevel"/>
    <w:tmpl w:val="DEA86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44CA9"/>
    <w:multiLevelType w:val="hybridMultilevel"/>
    <w:tmpl w:val="E19A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5219C"/>
    <w:multiLevelType w:val="hybridMultilevel"/>
    <w:tmpl w:val="E8905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BD"/>
    <w:rsid w:val="001704A1"/>
    <w:rsid w:val="0019411E"/>
    <w:rsid w:val="003122AB"/>
    <w:rsid w:val="0037732B"/>
    <w:rsid w:val="00462DB6"/>
    <w:rsid w:val="00506F6B"/>
    <w:rsid w:val="00693171"/>
    <w:rsid w:val="006B5BB0"/>
    <w:rsid w:val="007107BD"/>
    <w:rsid w:val="007D16C1"/>
    <w:rsid w:val="00967F79"/>
    <w:rsid w:val="009C7B0C"/>
    <w:rsid w:val="00A23858"/>
    <w:rsid w:val="00A81ACA"/>
    <w:rsid w:val="00AC70A4"/>
    <w:rsid w:val="00BE1BA8"/>
    <w:rsid w:val="00CC30DF"/>
    <w:rsid w:val="00CF28FF"/>
    <w:rsid w:val="00D97195"/>
    <w:rsid w:val="00F52A2F"/>
    <w:rsid w:val="00F7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adamia\Desktop\Patient_Dates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adamia\Desktop\Patient_Dates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adamia\Desktop\Patient_Dates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adamia\Desktop\Patient_Dates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adamia\Desktop\Patient_Dates%20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adamia\Desktop\Patient_Dates%20(1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adamia\Desktop\Patient_Dates%20(1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adamia\Desktop\Patient_Dates%20(1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adamia\Desktop\Patient_Dates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'50-1'!$B$3</c:f>
              <c:strCache>
                <c:ptCount val="1"/>
                <c:pt idx="0">
                  <c:v>Diff_RNA_Screening</c:v>
                </c:pt>
              </c:strCache>
            </c:strRef>
          </c:tx>
          <c:val>
            <c:numRef>
              <c:f>'50-1'!$C$3:$AZ$3</c:f>
              <c:numCache>
                <c:formatCode>General</c:formatCode>
                <c:ptCount val="50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52</c:v>
                </c:pt>
                <c:pt idx="6">
                  <c:v>7</c:v>
                </c:pt>
                <c:pt idx="7">
                  <c:v>29</c:v>
                </c:pt>
                <c:pt idx="8">
                  <c:v>1</c:v>
                </c:pt>
                <c:pt idx="9">
                  <c:v>10</c:v>
                </c:pt>
                <c:pt idx="10">
                  <c:v>26</c:v>
                </c:pt>
                <c:pt idx="11">
                  <c:v>14</c:v>
                </c:pt>
                <c:pt idx="12">
                  <c:v>38</c:v>
                </c:pt>
                <c:pt idx="13">
                  <c:v>31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22</c:v>
                </c:pt>
                <c:pt idx="19">
                  <c:v>7</c:v>
                </c:pt>
                <c:pt idx="20">
                  <c:v>3</c:v>
                </c:pt>
                <c:pt idx="21">
                  <c:v>0</c:v>
                </c:pt>
                <c:pt idx="22">
                  <c:v>1</c:v>
                </c:pt>
                <c:pt idx="23">
                  <c:v>42</c:v>
                </c:pt>
                <c:pt idx="24">
                  <c:v>0</c:v>
                </c:pt>
                <c:pt idx="25">
                  <c:v>0</c:v>
                </c:pt>
                <c:pt idx="26">
                  <c:v>1</c:v>
                </c:pt>
                <c:pt idx="27">
                  <c:v>3</c:v>
                </c:pt>
                <c:pt idx="28">
                  <c:v>10</c:v>
                </c:pt>
                <c:pt idx="29">
                  <c:v>11</c:v>
                </c:pt>
                <c:pt idx="30">
                  <c:v>6</c:v>
                </c:pt>
                <c:pt idx="31">
                  <c:v>0</c:v>
                </c:pt>
                <c:pt idx="32">
                  <c:v>2</c:v>
                </c:pt>
                <c:pt idx="33">
                  <c:v>4</c:v>
                </c:pt>
                <c:pt idx="34">
                  <c:v>4</c:v>
                </c:pt>
                <c:pt idx="35">
                  <c:v>0</c:v>
                </c:pt>
                <c:pt idx="36">
                  <c:v>0</c:v>
                </c:pt>
                <c:pt idx="37">
                  <c:v>60</c:v>
                </c:pt>
                <c:pt idx="38">
                  <c:v>21</c:v>
                </c:pt>
                <c:pt idx="39">
                  <c:v>11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3</c:v>
                </c:pt>
                <c:pt idx="46">
                  <c:v>17</c:v>
                </c:pt>
                <c:pt idx="47">
                  <c:v>4</c:v>
                </c:pt>
                <c:pt idx="48">
                  <c:v>3</c:v>
                </c:pt>
                <c:pt idx="49">
                  <c:v>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990400"/>
        <c:axId val="211991936"/>
      </c:lineChart>
      <c:catAx>
        <c:axId val="211990400"/>
        <c:scaling>
          <c:orientation val="minMax"/>
        </c:scaling>
        <c:delete val="0"/>
        <c:axPos val="b"/>
        <c:majorTickMark val="out"/>
        <c:minorTickMark val="none"/>
        <c:tickLblPos val="nextTo"/>
        <c:crossAx val="211991936"/>
        <c:crosses val="autoZero"/>
        <c:auto val="1"/>
        <c:lblAlgn val="ctr"/>
        <c:lblOffset val="100"/>
        <c:noMultiLvlLbl val="0"/>
      </c:catAx>
      <c:valAx>
        <c:axId val="211991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1990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'50-2'!$B$3</c:f>
              <c:strCache>
                <c:ptCount val="1"/>
                <c:pt idx="0">
                  <c:v>Diff_Prereg_RNA</c:v>
                </c:pt>
              </c:strCache>
            </c:strRef>
          </c:tx>
          <c:val>
            <c:numRef>
              <c:f>'50-2'!$C$3:$AZ$3</c:f>
              <c:numCache>
                <c:formatCode>General</c:formatCode>
                <c:ptCount val="50"/>
                <c:pt idx="0">
                  <c:v>6</c:v>
                </c:pt>
                <c:pt idx="1">
                  <c:v>18</c:v>
                </c:pt>
                <c:pt idx="2">
                  <c:v>10</c:v>
                </c:pt>
                <c:pt idx="3">
                  <c:v>34</c:v>
                </c:pt>
                <c:pt idx="4">
                  <c:v>20</c:v>
                </c:pt>
                <c:pt idx="5">
                  <c:v>3</c:v>
                </c:pt>
                <c:pt idx="6">
                  <c:v>8</c:v>
                </c:pt>
                <c:pt idx="7">
                  <c:v>7</c:v>
                </c:pt>
                <c:pt idx="8">
                  <c:v>14</c:v>
                </c:pt>
                <c:pt idx="9">
                  <c:v>10</c:v>
                </c:pt>
                <c:pt idx="10">
                  <c:v>6</c:v>
                </c:pt>
                <c:pt idx="11">
                  <c:v>9</c:v>
                </c:pt>
                <c:pt idx="12">
                  <c:v>2</c:v>
                </c:pt>
                <c:pt idx="13">
                  <c:v>1</c:v>
                </c:pt>
                <c:pt idx="14">
                  <c:v>27</c:v>
                </c:pt>
                <c:pt idx="15">
                  <c:v>17</c:v>
                </c:pt>
                <c:pt idx="16">
                  <c:v>14</c:v>
                </c:pt>
                <c:pt idx="17">
                  <c:v>13</c:v>
                </c:pt>
                <c:pt idx="18">
                  <c:v>3</c:v>
                </c:pt>
                <c:pt idx="19">
                  <c:v>6</c:v>
                </c:pt>
                <c:pt idx="20">
                  <c:v>12</c:v>
                </c:pt>
                <c:pt idx="21">
                  <c:v>12</c:v>
                </c:pt>
                <c:pt idx="22">
                  <c:v>8</c:v>
                </c:pt>
                <c:pt idx="23">
                  <c:v>1</c:v>
                </c:pt>
                <c:pt idx="24">
                  <c:v>4</c:v>
                </c:pt>
                <c:pt idx="25">
                  <c:v>16</c:v>
                </c:pt>
                <c:pt idx="26">
                  <c:v>7</c:v>
                </c:pt>
                <c:pt idx="27">
                  <c:v>13</c:v>
                </c:pt>
                <c:pt idx="28">
                  <c:v>7</c:v>
                </c:pt>
                <c:pt idx="29">
                  <c:v>3</c:v>
                </c:pt>
                <c:pt idx="30">
                  <c:v>14</c:v>
                </c:pt>
                <c:pt idx="31">
                  <c:v>7</c:v>
                </c:pt>
                <c:pt idx="32">
                  <c:v>11</c:v>
                </c:pt>
                <c:pt idx="33">
                  <c:v>2</c:v>
                </c:pt>
                <c:pt idx="34">
                  <c:v>14</c:v>
                </c:pt>
                <c:pt idx="35">
                  <c:v>7</c:v>
                </c:pt>
                <c:pt idx="36">
                  <c:v>8</c:v>
                </c:pt>
                <c:pt idx="37">
                  <c:v>5</c:v>
                </c:pt>
                <c:pt idx="38">
                  <c:v>23</c:v>
                </c:pt>
                <c:pt idx="39">
                  <c:v>34</c:v>
                </c:pt>
                <c:pt idx="40">
                  <c:v>45</c:v>
                </c:pt>
                <c:pt idx="41">
                  <c:v>29</c:v>
                </c:pt>
                <c:pt idx="42">
                  <c:v>6</c:v>
                </c:pt>
                <c:pt idx="43">
                  <c:v>9</c:v>
                </c:pt>
                <c:pt idx="44">
                  <c:v>16</c:v>
                </c:pt>
                <c:pt idx="45">
                  <c:v>38</c:v>
                </c:pt>
                <c:pt idx="46">
                  <c:v>18</c:v>
                </c:pt>
                <c:pt idx="47">
                  <c:v>14</c:v>
                </c:pt>
                <c:pt idx="48">
                  <c:v>17</c:v>
                </c:pt>
                <c:pt idx="49">
                  <c:v>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008320"/>
        <c:axId val="212145280"/>
      </c:lineChart>
      <c:catAx>
        <c:axId val="212008320"/>
        <c:scaling>
          <c:orientation val="minMax"/>
        </c:scaling>
        <c:delete val="0"/>
        <c:axPos val="b"/>
        <c:majorTickMark val="out"/>
        <c:minorTickMark val="none"/>
        <c:tickLblPos val="nextTo"/>
        <c:crossAx val="212145280"/>
        <c:crosses val="autoZero"/>
        <c:auto val="1"/>
        <c:lblAlgn val="ctr"/>
        <c:lblOffset val="100"/>
        <c:noMultiLvlLbl val="0"/>
      </c:catAx>
      <c:valAx>
        <c:axId val="212145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008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'50-3'!$B$3</c:f>
              <c:strCache>
                <c:ptCount val="1"/>
                <c:pt idx="0">
                  <c:v>Diff_FirstDoc_Prereg</c:v>
                </c:pt>
              </c:strCache>
            </c:strRef>
          </c:tx>
          <c:val>
            <c:numRef>
              <c:f>'50-3'!$C$3:$AZ$3</c:f>
              <c:numCache>
                <c:formatCode>General</c:formatCode>
                <c:ptCount val="50"/>
                <c:pt idx="0">
                  <c:v>7</c:v>
                </c:pt>
                <c:pt idx="1">
                  <c:v>31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33</c:v>
                </c:pt>
                <c:pt idx="7">
                  <c:v>20</c:v>
                </c:pt>
                <c:pt idx="8">
                  <c:v>203</c:v>
                </c:pt>
                <c:pt idx="9">
                  <c:v>1</c:v>
                </c:pt>
                <c:pt idx="10">
                  <c:v>11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7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  <c:pt idx="18">
                  <c:v>3</c:v>
                </c:pt>
                <c:pt idx="19">
                  <c:v>8</c:v>
                </c:pt>
                <c:pt idx="20">
                  <c:v>6</c:v>
                </c:pt>
                <c:pt idx="21">
                  <c:v>3</c:v>
                </c:pt>
                <c:pt idx="22">
                  <c:v>1</c:v>
                </c:pt>
                <c:pt idx="23">
                  <c:v>0</c:v>
                </c:pt>
                <c:pt idx="24">
                  <c:v>5</c:v>
                </c:pt>
                <c:pt idx="25">
                  <c:v>0</c:v>
                </c:pt>
                <c:pt idx="26">
                  <c:v>1</c:v>
                </c:pt>
                <c:pt idx="27">
                  <c:v>0</c:v>
                </c:pt>
                <c:pt idx="28">
                  <c:v>0</c:v>
                </c:pt>
                <c:pt idx="29">
                  <c:v>9</c:v>
                </c:pt>
                <c:pt idx="30">
                  <c:v>0</c:v>
                </c:pt>
                <c:pt idx="31">
                  <c:v>0</c:v>
                </c:pt>
                <c:pt idx="32">
                  <c:v>2</c:v>
                </c:pt>
                <c:pt idx="33">
                  <c:v>0</c:v>
                </c:pt>
                <c:pt idx="34">
                  <c:v>2</c:v>
                </c:pt>
                <c:pt idx="35">
                  <c:v>0</c:v>
                </c:pt>
                <c:pt idx="36">
                  <c:v>8</c:v>
                </c:pt>
                <c:pt idx="37">
                  <c:v>0</c:v>
                </c:pt>
                <c:pt idx="38">
                  <c:v>6</c:v>
                </c:pt>
                <c:pt idx="39">
                  <c:v>0</c:v>
                </c:pt>
                <c:pt idx="40">
                  <c:v>0</c:v>
                </c:pt>
                <c:pt idx="41">
                  <c:v>1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1</c:v>
                </c:pt>
                <c:pt idx="46">
                  <c:v>41</c:v>
                </c:pt>
                <c:pt idx="47">
                  <c:v>0</c:v>
                </c:pt>
                <c:pt idx="48">
                  <c:v>2</c:v>
                </c:pt>
                <c:pt idx="49">
                  <c:v>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169856"/>
        <c:axId val="212171392"/>
      </c:lineChart>
      <c:catAx>
        <c:axId val="212169856"/>
        <c:scaling>
          <c:orientation val="minMax"/>
        </c:scaling>
        <c:delete val="0"/>
        <c:axPos val="b"/>
        <c:majorTickMark val="out"/>
        <c:minorTickMark val="none"/>
        <c:tickLblPos val="nextTo"/>
        <c:crossAx val="212171392"/>
        <c:crosses val="autoZero"/>
        <c:auto val="1"/>
        <c:lblAlgn val="ctr"/>
        <c:lblOffset val="100"/>
        <c:noMultiLvlLbl val="0"/>
      </c:catAx>
      <c:valAx>
        <c:axId val="212171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169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'50-4'!$B$3</c:f>
              <c:strCache>
                <c:ptCount val="1"/>
                <c:pt idx="0">
                  <c:v>Diff_SecondDoc_FirstDoc</c:v>
                </c:pt>
              </c:strCache>
            </c:strRef>
          </c:tx>
          <c:val>
            <c:numRef>
              <c:f>'50-4'!$C$3:$AZ$3</c:f>
              <c:numCache>
                <c:formatCode>General</c:formatCode>
                <c:ptCount val="50"/>
                <c:pt idx="0">
                  <c:v>8</c:v>
                </c:pt>
                <c:pt idx="1">
                  <c:v>14</c:v>
                </c:pt>
                <c:pt idx="2">
                  <c:v>13</c:v>
                </c:pt>
                <c:pt idx="3">
                  <c:v>14</c:v>
                </c:pt>
                <c:pt idx="4">
                  <c:v>24</c:v>
                </c:pt>
                <c:pt idx="5">
                  <c:v>7</c:v>
                </c:pt>
                <c:pt idx="6">
                  <c:v>37</c:v>
                </c:pt>
                <c:pt idx="7">
                  <c:v>8</c:v>
                </c:pt>
                <c:pt idx="8">
                  <c:v>13</c:v>
                </c:pt>
                <c:pt idx="9">
                  <c:v>0</c:v>
                </c:pt>
                <c:pt idx="10">
                  <c:v>0</c:v>
                </c:pt>
                <c:pt idx="11">
                  <c:v>49</c:v>
                </c:pt>
                <c:pt idx="12">
                  <c:v>102</c:v>
                </c:pt>
                <c:pt idx="13">
                  <c:v>28</c:v>
                </c:pt>
                <c:pt idx="14">
                  <c:v>0</c:v>
                </c:pt>
                <c:pt idx="15">
                  <c:v>14</c:v>
                </c:pt>
                <c:pt idx="16">
                  <c:v>14</c:v>
                </c:pt>
                <c:pt idx="17">
                  <c:v>23</c:v>
                </c:pt>
                <c:pt idx="18">
                  <c:v>29</c:v>
                </c:pt>
                <c:pt idx="19">
                  <c:v>14</c:v>
                </c:pt>
                <c:pt idx="20">
                  <c:v>14</c:v>
                </c:pt>
                <c:pt idx="21">
                  <c:v>39</c:v>
                </c:pt>
                <c:pt idx="22">
                  <c:v>14</c:v>
                </c:pt>
                <c:pt idx="23">
                  <c:v>55</c:v>
                </c:pt>
                <c:pt idx="24">
                  <c:v>34</c:v>
                </c:pt>
                <c:pt idx="25">
                  <c:v>18</c:v>
                </c:pt>
                <c:pt idx="26">
                  <c:v>22</c:v>
                </c:pt>
                <c:pt idx="27">
                  <c:v>15</c:v>
                </c:pt>
                <c:pt idx="28">
                  <c:v>16</c:v>
                </c:pt>
                <c:pt idx="29">
                  <c:v>19</c:v>
                </c:pt>
                <c:pt idx="30">
                  <c:v>12</c:v>
                </c:pt>
                <c:pt idx="31">
                  <c:v>0</c:v>
                </c:pt>
                <c:pt idx="32">
                  <c:v>19</c:v>
                </c:pt>
                <c:pt idx="33">
                  <c:v>9</c:v>
                </c:pt>
                <c:pt idx="34">
                  <c:v>15</c:v>
                </c:pt>
                <c:pt idx="35">
                  <c:v>0</c:v>
                </c:pt>
                <c:pt idx="36">
                  <c:v>17</c:v>
                </c:pt>
                <c:pt idx="37">
                  <c:v>34</c:v>
                </c:pt>
                <c:pt idx="38">
                  <c:v>25</c:v>
                </c:pt>
                <c:pt idx="39">
                  <c:v>15</c:v>
                </c:pt>
                <c:pt idx="40">
                  <c:v>10</c:v>
                </c:pt>
                <c:pt idx="41">
                  <c:v>15</c:v>
                </c:pt>
                <c:pt idx="42">
                  <c:v>14</c:v>
                </c:pt>
                <c:pt idx="43">
                  <c:v>12</c:v>
                </c:pt>
                <c:pt idx="44">
                  <c:v>0</c:v>
                </c:pt>
                <c:pt idx="45">
                  <c:v>21</c:v>
                </c:pt>
                <c:pt idx="46">
                  <c:v>11</c:v>
                </c:pt>
                <c:pt idx="47">
                  <c:v>17</c:v>
                </c:pt>
                <c:pt idx="48">
                  <c:v>10</c:v>
                </c:pt>
                <c:pt idx="49">
                  <c:v>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184064"/>
        <c:axId val="212198144"/>
      </c:lineChart>
      <c:catAx>
        <c:axId val="212184064"/>
        <c:scaling>
          <c:orientation val="minMax"/>
        </c:scaling>
        <c:delete val="0"/>
        <c:axPos val="b"/>
        <c:majorTickMark val="out"/>
        <c:minorTickMark val="none"/>
        <c:tickLblPos val="nextTo"/>
        <c:crossAx val="212198144"/>
        <c:crosses val="autoZero"/>
        <c:auto val="1"/>
        <c:lblAlgn val="ctr"/>
        <c:lblOffset val="100"/>
        <c:noMultiLvlLbl val="0"/>
      </c:catAx>
      <c:valAx>
        <c:axId val="21219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184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'50-5'!$B$3</c:f>
              <c:strCache>
                <c:ptCount val="1"/>
                <c:pt idx="0">
                  <c:v>Diff_Registration_SecondDoc</c:v>
                </c:pt>
              </c:strCache>
            </c:strRef>
          </c:tx>
          <c:val>
            <c:numRef>
              <c:f>'50-5'!$C$3:$AZ$3</c:f>
              <c:numCache>
                <c:formatCode>General</c:formatCode>
                <c:ptCount val="50"/>
                <c:pt idx="0">
                  <c:v>7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3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7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7</c:v>
                </c:pt>
                <c:pt idx="25">
                  <c:v>2</c:v>
                </c:pt>
                <c:pt idx="26">
                  <c:v>0</c:v>
                </c:pt>
                <c:pt idx="27">
                  <c:v>6</c:v>
                </c:pt>
                <c:pt idx="28">
                  <c:v>0</c:v>
                </c:pt>
                <c:pt idx="29">
                  <c:v>1</c:v>
                </c:pt>
                <c:pt idx="30">
                  <c:v>2</c:v>
                </c:pt>
                <c:pt idx="31">
                  <c:v>7</c:v>
                </c:pt>
                <c:pt idx="32">
                  <c:v>10</c:v>
                </c:pt>
                <c:pt idx="33">
                  <c:v>3</c:v>
                </c:pt>
                <c:pt idx="34">
                  <c:v>1</c:v>
                </c:pt>
                <c:pt idx="35">
                  <c:v>52</c:v>
                </c:pt>
                <c:pt idx="36">
                  <c:v>0</c:v>
                </c:pt>
                <c:pt idx="37">
                  <c:v>0</c:v>
                </c:pt>
                <c:pt idx="38">
                  <c:v>5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14</c:v>
                </c:pt>
                <c:pt idx="45">
                  <c:v>3</c:v>
                </c:pt>
                <c:pt idx="46">
                  <c:v>0</c:v>
                </c:pt>
                <c:pt idx="47">
                  <c:v>0</c:v>
                </c:pt>
                <c:pt idx="48">
                  <c:v>2</c:v>
                </c:pt>
                <c:pt idx="4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938752"/>
        <c:axId val="212940288"/>
      </c:lineChart>
      <c:catAx>
        <c:axId val="212938752"/>
        <c:scaling>
          <c:orientation val="minMax"/>
        </c:scaling>
        <c:delete val="0"/>
        <c:axPos val="b"/>
        <c:majorTickMark val="out"/>
        <c:minorTickMark val="none"/>
        <c:tickLblPos val="nextTo"/>
        <c:crossAx val="212940288"/>
        <c:crosses val="autoZero"/>
        <c:auto val="1"/>
        <c:lblAlgn val="ctr"/>
        <c:lblOffset val="100"/>
        <c:noMultiLvlLbl val="0"/>
      </c:catAx>
      <c:valAx>
        <c:axId val="212940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938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'50-6'!$B$3</c:f>
              <c:strCache>
                <c:ptCount val="1"/>
                <c:pt idx="0">
                  <c:v>Diff_Commetee_Registration</c:v>
                </c:pt>
              </c:strCache>
            </c:strRef>
          </c:tx>
          <c:val>
            <c:numRef>
              <c:f>'50-6'!$C$3:$AZ$3</c:f>
              <c:numCache>
                <c:formatCode>General</c:formatCode>
                <c:ptCount val="50"/>
                <c:pt idx="0">
                  <c:v>9</c:v>
                </c:pt>
                <c:pt idx="1">
                  <c:v>21</c:v>
                </c:pt>
                <c:pt idx="2">
                  <c:v>7</c:v>
                </c:pt>
                <c:pt idx="3">
                  <c:v>15</c:v>
                </c:pt>
                <c:pt idx="4">
                  <c:v>12</c:v>
                </c:pt>
                <c:pt idx="5">
                  <c:v>8</c:v>
                </c:pt>
                <c:pt idx="6">
                  <c:v>26</c:v>
                </c:pt>
                <c:pt idx="7">
                  <c:v>15</c:v>
                </c:pt>
                <c:pt idx="8">
                  <c:v>15</c:v>
                </c:pt>
                <c:pt idx="9">
                  <c:v>15</c:v>
                </c:pt>
                <c:pt idx="10">
                  <c:v>10</c:v>
                </c:pt>
                <c:pt idx="11">
                  <c:v>7</c:v>
                </c:pt>
                <c:pt idx="12">
                  <c:v>9</c:v>
                </c:pt>
                <c:pt idx="13">
                  <c:v>6</c:v>
                </c:pt>
                <c:pt idx="14">
                  <c:v>9</c:v>
                </c:pt>
                <c:pt idx="15">
                  <c:v>4</c:v>
                </c:pt>
                <c:pt idx="16">
                  <c:v>15</c:v>
                </c:pt>
                <c:pt idx="17">
                  <c:v>7</c:v>
                </c:pt>
                <c:pt idx="18">
                  <c:v>8</c:v>
                </c:pt>
                <c:pt idx="19">
                  <c:v>9</c:v>
                </c:pt>
                <c:pt idx="20">
                  <c:v>15</c:v>
                </c:pt>
                <c:pt idx="21">
                  <c:v>3</c:v>
                </c:pt>
                <c:pt idx="22">
                  <c:v>7</c:v>
                </c:pt>
                <c:pt idx="23">
                  <c:v>7</c:v>
                </c:pt>
                <c:pt idx="24">
                  <c:v>14</c:v>
                </c:pt>
                <c:pt idx="25">
                  <c:v>8</c:v>
                </c:pt>
                <c:pt idx="26">
                  <c:v>8</c:v>
                </c:pt>
                <c:pt idx="27">
                  <c:v>19</c:v>
                </c:pt>
                <c:pt idx="28">
                  <c:v>20</c:v>
                </c:pt>
                <c:pt idx="29">
                  <c:v>6</c:v>
                </c:pt>
                <c:pt idx="30">
                  <c:v>13</c:v>
                </c:pt>
                <c:pt idx="31">
                  <c:v>6</c:v>
                </c:pt>
                <c:pt idx="32">
                  <c:v>11</c:v>
                </c:pt>
                <c:pt idx="33">
                  <c:v>15</c:v>
                </c:pt>
                <c:pt idx="34">
                  <c:v>20</c:v>
                </c:pt>
                <c:pt idx="35">
                  <c:v>12</c:v>
                </c:pt>
                <c:pt idx="36">
                  <c:v>10</c:v>
                </c:pt>
                <c:pt idx="37">
                  <c:v>24</c:v>
                </c:pt>
                <c:pt idx="38">
                  <c:v>6</c:v>
                </c:pt>
                <c:pt idx="39">
                  <c:v>9</c:v>
                </c:pt>
                <c:pt idx="40">
                  <c:v>7</c:v>
                </c:pt>
                <c:pt idx="41">
                  <c:v>6</c:v>
                </c:pt>
                <c:pt idx="42">
                  <c:v>12</c:v>
                </c:pt>
                <c:pt idx="43">
                  <c:v>8</c:v>
                </c:pt>
                <c:pt idx="44">
                  <c:v>13</c:v>
                </c:pt>
                <c:pt idx="45">
                  <c:v>18</c:v>
                </c:pt>
                <c:pt idx="46">
                  <c:v>19</c:v>
                </c:pt>
                <c:pt idx="47">
                  <c:v>5</c:v>
                </c:pt>
                <c:pt idx="48">
                  <c:v>2</c:v>
                </c:pt>
                <c:pt idx="49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960768"/>
        <c:axId val="212962304"/>
      </c:lineChart>
      <c:catAx>
        <c:axId val="212960768"/>
        <c:scaling>
          <c:orientation val="minMax"/>
        </c:scaling>
        <c:delete val="0"/>
        <c:axPos val="b"/>
        <c:majorTickMark val="out"/>
        <c:minorTickMark val="none"/>
        <c:tickLblPos val="nextTo"/>
        <c:crossAx val="212962304"/>
        <c:crosses val="autoZero"/>
        <c:auto val="1"/>
        <c:lblAlgn val="ctr"/>
        <c:lblOffset val="100"/>
        <c:noMultiLvlLbl val="0"/>
      </c:catAx>
      <c:valAx>
        <c:axId val="212962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960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'50-7'!$B$3</c:f>
              <c:strCache>
                <c:ptCount val="1"/>
                <c:pt idx="0">
                  <c:v>Diff_FirstDrugIssueDate_Commetee</c:v>
                </c:pt>
              </c:strCache>
            </c:strRef>
          </c:tx>
          <c:val>
            <c:numRef>
              <c:f>'50-7'!$C$3:$AZ$3</c:f>
              <c:numCache>
                <c:formatCode>General</c:formatCode>
                <c:ptCount val="50"/>
                <c:pt idx="0">
                  <c:v>18</c:v>
                </c:pt>
                <c:pt idx="1">
                  <c:v>17</c:v>
                </c:pt>
                <c:pt idx="2">
                  <c:v>13</c:v>
                </c:pt>
                <c:pt idx="3">
                  <c:v>15</c:v>
                </c:pt>
                <c:pt idx="4">
                  <c:v>23</c:v>
                </c:pt>
                <c:pt idx="5">
                  <c:v>12</c:v>
                </c:pt>
                <c:pt idx="6">
                  <c:v>37</c:v>
                </c:pt>
                <c:pt idx="7">
                  <c:v>19</c:v>
                </c:pt>
                <c:pt idx="8">
                  <c:v>14</c:v>
                </c:pt>
                <c:pt idx="9">
                  <c:v>16</c:v>
                </c:pt>
                <c:pt idx="10">
                  <c:v>12</c:v>
                </c:pt>
                <c:pt idx="11">
                  <c:v>36</c:v>
                </c:pt>
                <c:pt idx="12">
                  <c:v>20</c:v>
                </c:pt>
                <c:pt idx="13">
                  <c:v>15</c:v>
                </c:pt>
                <c:pt idx="14">
                  <c:v>10</c:v>
                </c:pt>
                <c:pt idx="15">
                  <c:v>28</c:v>
                </c:pt>
                <c:pt idx="16">
                  <c:v>17</c:v>
                </c:pt>
                <c:pt idx="17">
                  <c:v>27</c:v>
                </c:pt>
                <c:pt idx="18">
                  <c:v>47</c:v>
                </c:pt>
                <c:pt idx="19">
                  <c:v>23</c:v>
                </c:pt>
                <c:pt idx="20">
                  <c:v>22</c:v>
                </c:pt>
                <c:pt idx="21">
                  <c:v>18</c:v>
                </c:pt>
                <c:pt idx="22">
                  <c:v>25</c:v>
                </c:pt>
                <c:pt idx="23">
                  <c:v>18</c:v>
                </c:pt>
                <c:pt idx="24">
                  <c:v>16</c:v>
                </c:pt>
                <c:pt idx="25">
                  <c:v>26</c:v>
                </c:pt>
                <c:pt idx="26">
                  <c:v>34</c:v>
                </c:pt>
                <c:pt idx="27">
                  <c:v>15</c:v>
                </c:pt>
                <c:pt idx="28">
                  <c:v>16</c:v>
                </c:pt>
                <c:pt idx="29">
                  <c:v>22</c:v>
                </c:pt>
                <c:pt idx="30">
                  <c:v>15</c:v>
                </c:pt>
                <c:pt idx="31">
                  <c:v>19</c:v>
                </c:pt>
                <c:pt idx="32">
                  <c:v>9</c:v>
                </c:pt>
                <c:pt idx="33">
                  <c:v>14</c:v>
                </c:pt>
                <c:pt idx="34">
                  <c:v>19</c:v>
                </c:pt>
                <c:pt idx="35">
                  <c:v>20</c:v>
                </c:pt>
                <c:pt idx="36">
                  <c:v>21</c:v>
                </c:pt>
                <c:pt idx="37">
                  <c:v>11</c:v>
                </c:pt>
                <c:pt idx="38">
                  <c:v>12</c:v>
                </c:pt>
                <c:pt idx="39">
                  <c:v>12</c:v>
                </c:pt>
                <c:pt idx="40">
                  <c:v>11</c:v>
                </c:pt>
                <c:pt idx="41">
                  <c:v>14</c:v>
                </c:pt>
                <c:pt idx="42">
                  <c:v>14</c:v>
                </c:pt>
                <c:pt idx="43">
                  <c:v>9</c:v>
                </c:pt>
                <c:pt idx="44">
                  <c:v>13</c:v>
                </c:pt>
                <c:pt idx="45">
                  <c:v>5</c:v>
                </c:pt>
                <c:pt idx="46">
                  <c:v>12</c:v>
                </c:pt>
                <c:pt idx="47">
                  <c:v>13</c:v>
                </c:pt>
                <c:pt idx="48">
                  <c:v>12</c:v>
                </c:pt>
                <c:pt idx="49">
                  <c:v>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990976"/>
        <c:axId val="214184704"/>
      </c:lineChart>
      <c:catAx>
        <c:axId val="212990976"/>
        <c:scaling>
          <c:orientation val="minMax"/>
        </c:scaling>
        <c:delete val="0"/>
        <c:axPos val="b"/>
        <c:majorTickMark val="out"/>
        <c:minorTickMark val="none"/>
        <c:tickLblPos val="nextTo"/>
        <c:crossAx val="214184704"/>
        <c:crosses val="autoZero"/>
        <c:auto val="1"/>
        <c:lblAlgn val="ctr"/>
        <c:lblOffset val="100"/>
        <c:noMultiLvlLbl val="0"/>
      </c:catAx>
      <c:valAx>
        <c:axId val="21418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990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'სკრინინგი-მედიკამენტი'!$C$2</c:f>
              <c:strCache>
                <c:ptCount val="1"/>
              </c:strCache>
            </c:strRef>
          </c:tx>
          <c:val>
            <c:numRef>
              <c:f>'სკრინინგი-მედიკამენტი'!$C$3:$C$54</c:f>
              <c:numCache>
                <c:formatCode>General</c:formatCode>
                <c:ptCount val="52"/>
                <c:pt idx="0">
                  <c:v>38</c:v>
                </c:pt>
                <c:pt idx="1">
                  <c:v>39</c:v>
                </c:pt>
                <c:pt idx="2">
                  <c:v>45</c:v>
                </c:pt>
                <c:pt idx="3">
                  <c:v>46</c:v>
                </c:pt>
                <c:pt idx="4">
                  <c:v>47</c:v>
                </c:pt>
                <c:pt idx="5">
                  <c:v>48</c:v>
                </c:pt>
                <c:pt idx="6">
                  <c:v>52</c:v>
                </c:pt>
                <c:pt idx="7">
                  <c:v>53</c:v>
                </c:pt>
                <c:pt idx="8">
                  <c:v>56</c:v>
                </c:pt>
                <c:pt idx="9">
                  <c:v>56</c:v>
                </c:pt>
                <c:pt idx="10">
                  <c:v>57</c:v>
                </c:pt>
                <c:pt idx="11">
                  <c:v>60</c:v>
                </c:pt>
                <c:pt idx="12">
                  <c:v>62</c:v>
                </c:pt>
                <c:pt idx="13">
                  <c:v>63</c:v>
                </c:pt>
                <c:pt idx="14">
                  <c:v>63</c:v>
                </c:pt>
                <c:pt idx="15">
                  <c:v>64</c:v>
                </c:pt>
                <c:pt idx="16">
                  <c:v>64</c:v>
                </c:pt>
                <c:pt idx="17">
                  <c:v>65</c:v>
                </c:pt>
                <c:pt idx="18">
                  <c:v>67</c:v>
                </c:pt>
                <c:pt idx="19">
                  <c:v>68</c:v>
                </c:pt>
                <c:pt idx="20">
                  <c:v>69</c:v>
                </c:pt>
                <c:pt idx="21">
                  <c:v>70</c:v>
                </c:pt>
                <c:pt idx="22">
                  <c:v>70</c:v>
                </c:pt>
                <c:pt idx="23">
                  <c:v>71</c:v>
                </c:pt>
                <c:pt idx="24">
                  <c:v>71</c:v>
                </c:pt>
                <c:pt idx="25">
                  <c:v>72</c:v>
                </c:pt>
                <c:pt idx="26">
                  <c:v>73</c:v>
                </c:pt>
                <c:pt idx="27">
                  <c:v>73</c:v>
                </c:pt>
                <c:pt idx="28">
                  <c:v>75</c:v>
                </c:pt>
                <c:pt idx="29">
                  <c:v>75</c:v>
                </c:pt>
                <c:pt idx="30">
                  <c:v>78</c:v>
                </c:pt>
                <c:pt idx="31">
                  <c:v>78</c:v>
                </c:pt>
                <c:pt idx="32">
                  <c:v>80</c:v>
                </c:pt>
                <c:pt idx="33">
                  <c:v>81</c:v>
                </c:pt>
                <c:pt idx="34">
                  <c:v>81</c:v>
                </c:pt>
                <c:pt idx="35">
                  <c:v>81</c:v>
                </c:pt>
                <c:pt idx="36">
                  <c:v>82</c:v>
                </c:pt>
                <c:pt idx="37">
                  <c:v>89</c:v>
                </c:pt>
                <c:pt idx="38">
                  <c:v>91</c:v>
                </c:pt>
                <c:pt idx="39">
                  <c:v>98</c:v>
                </c:pt>
                <c:pt idx="40">
                  <c:v>100</c:v>
                </c:pt>
                <c:pt idx="41">
                  <c:v>103</c:v>
                </c:pt>
                <c:pt idx="42">
                  <c:v>112</c:v>
                </c:pt>
                <c:pt idx="43">
                  <c:v>115</c:v>
                </c:pt>
                <c:pt idx="44">
                  <c:v>118</c:v>
                </c:pt>
                <c:pt idx="45">
                  <c:v>123</c:v>
                </c:pt>
                <c:pt idx="46">
                  <c:v>134</c:v>
                </c:pt>
                <c:pt idx="47">
                  <c:v>148</c:v>
                </c:pt>
                <c:pt idx="48">
                  <c:v>172</c:v>
                </c:pt>
                <c:pt idx="49">
                  <c:v>260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213376"/>
        <c:axId val="214214912"/>
      </c:lineChart>
      <c:catAx>
        <c:axId val="214213376"/>
        <c:scaling>
          <c:orientation val="minMax"/>
        </c:scaling>
        <c:delete val="0"/>
        <c:axPos val="b"/>
        <c:majorTickMark val="out"/>
        <c:minorTickMark val="none"/>
        <c:tickLblPos val="nextTo"/>
        <c:crossAx val="214214912"/>
        <c:crosses val="autoZero"/>
        <c:auto val="1"/>
        <c:lblAlgn val="ctr"/>
        <c:lblOffset val="100"/>
        <c:noMultiLvlLbl val="0"/>
      </c:catAx>
      <c:valAx>
        <c:axId val="214214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213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'რნა-მედიკამენტი'!$C$1</c:f>
              <c:strCache>
                <c:ptCount val="1"/>
              </c:strCache>
            </c:strRef>
          </c:tx>
          <c:val>
            <c:numRef>
              <c:f>'რნა-მედიკამენტი'!$C$2:$C$53</c:f>
              <c:numCache>
                <c:formatCode>General</c:formatCode>
                <c:ptCount val="52"/>
                <c:pt idx="0">
                  <c:v>30</c:v>
                </c:pt>
                <c:pt idx="1">
                  <c:v>38</c:v>
                </c:pt>
                <c:pt idx="2">
                  <c:v>39</c:v>
                </c:pt>
                <c:pt idx="3">
                  <c:v>42</c:v>
                </c:pt>
                <c:pt idx="4">
                  <c:v>42</c:v>
                </c:pt>
                <c:pt idx="5">
                  <c:v>43</c:v>
                </c:pt>
                <c:pt idx="6">
                  <c:v>45</c:v>
                </c:pt>
                <c:pt idx="7">
                  <c:v>45</c:v>
                </c:pt>
                <c:pt idx="8">
                  <c:v>46</c:v>
                </c:pt>
                <c:pt idx="9">
                  <c:v>49</c:v>
                </c:pt>
                <c:pt idx="10">
                  <c:v>50</c:v>
                </c:pt>
                <c:pt idx="11">
                  <c:v>55</c:v>
                </c:pt>
                <c:pt idx="12">
                  <c:v>55</c:v>
                </c:pt>
                <c:pt idx="13">
                  <c:v>55</c:v>
                </c:pt>
                <c:pt idx="14">
                  <c:v>56</c:v>
                </c:pt>
                <c:pt idx="15">
                  <c:v>56</c:v>
                </c:pt>
                <c:pt idx="16">
                  <c:v>59</c:v>
                </c:pt>
                <c:pt idx="17">
                  <c:v>60</c:v>
                </c:pt>
                <c:pt idx="18">
                  <c:v>60</c:v>
                </c:pt>
                <c:pt idx="19">
                  <c:v>60</c:v>
                </c:pt>
                <c:pt idx="20">
                  <c:v>62</c:v>
                </c:pt>
                <c:pt idx="21">
                  <c:v>63</c:v>
                </c:pt>
                <c:pt idx="22">
                  <c:v>63</c:v>
                </c:pt>
                <c:pt idx="23">
                  <c:v>64</c:v>
                </c:pt>
                <c:pt idx="24">
                  <c:v>65</c:v>
                </c:pt>
                <c:pt idx="25">
                  <c:v>68</c:v>
                </c:pt>
                <c:pt idx="26">
                  <c:v>69</c:v>
                </c:pt>
                <c:pt idx="27">
                  <c:v>70</c:v>
                </c:pt>
                <c:pt idx="28">
                  <c:v>70</c:v>
                </c:pt>
                <c:pt idx="29">
                  <c:v>70</c:v>
                </c:pt>
                <c:pt idx="30">
                  <c:v>71</c:v>
                </c:pt>
                <c:pt idx="31">
                  <c:v>71</c:v>
                </c:pt>
                <c:pt idx="32">
                  <c:v>72</c:v>
                </c:pt>
                <c:pt idx="33">
                  <c:v>73</c:v>
                </c:pt>
                <c:pt idx="34">
                  <c:v>74</c:v>
                </c:pt>
                <c:pt idx="35">
                  <c:v>75</c:v>
                </c:pt>
                <c:pt idx="36">
                  <c:v>77</c:v>
                </c:pt>
                <c:pt idx="37">
                  <c:v>78</c:v>
                </c:pt>
                <c:pt idx="38">
                  <c:v>79</c:v>
                </c:pt>
                <c:pt idx="39">
                  <c:v>80</c:v>
                </c:pt>
                <c:pt idx="40">
                  <c:v>81</c:v>
                </c:pt>
                <c:pt idx="41">
                  <c:v>86</c:v>
                </c:pt>
                <c:pt idx="42">
                  <c:v>90</c:v>
                </c:pt>
                <c:pt idx="43">
                  <c:v>91</c:v>
                </c:pt>
                <c:pt idx="44">
                  <c:v>101</c:v>
                </c:pt>
                <c:pt idx="45">
                  <c:v>101</c:v>
                </c:pt>
                <c:pt idx="46">
                  <c:v>101</c:v>
                </c:pt>
                <c:pt idx="47">
                  <c:v>134</c:v>
                </c:pt>
                <c:pt idx="48">
                  <c:v>141</c:v>
                </c:pt>
                <c:pt idx="49">
                  <c:v>259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198528"/>
        <c:axId val="214372352"/>
      </c:lineChart>
      <c:catAx>
        <c:axId val="214198528"/>
        <c:scaling>
          <c:orientation val="minMax"/>
        </c:scaling>
        <c:delete val="0"/>
        <c:axPos val="b"/>
        <c:majorTickMark val="out"/>
        <c:minorTickMark val="none"/>
        <c:tickLblPos val="nextTo"/>
        <c:crossAx val="214372352"/>
        <c:crosses val="autoZero"/>
        <c:auto val="1"/>
        <c:lblAlgn val="ctr"/>
        <c:lblOffset val="100"/>
        <c:noMultiLvlLbl val="0"/>
      </c:catAx>
      <c:valAx>
        <c:axId val="214372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198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9</cp:revision>
  <cp:lastPrinted>2017-05-02T10:20:00Z</cp:lastPrinted>
  <dcterms:created xsi:type="dcterms:W3CDTF">2017-05-02T07:55:00Z</dcterms:created>
  <dcterms:modified xsi:type="dcterms:W3CDTF">2017-05-02T12:11:00Z</dcterms:modified>
</cp:coreProperties>
</file>